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C24606" w:rsidP="00C709C0" w14:paraId="2BF801AD" w14:textId="179C1371">
      <w:pPr>
        <w:jc w:val="both"/>
        <w:rPr>
          <w:rFonts w:asciiTheme="minorHAnsi" w:hAnsiTheme="minorHAnsi" w:cstheme="minorHAnsi"/>
          <w:b/>
          <w:sz w:val="28"/>
          <w:szCs w:val="28"/>
        </w:rPr>
      </w:pPr>
      <w:r>
        <w:rPr>
          <w:rFonts w:asciiTheme="minorHAnsi" w:hAnsiTheme="minorHAnsi" w:cstheme="minorHAnsi"/>
          <w:b/>
          <w:sz w:val="28"/>
          <w:szCs w:val="28"/>
        </w:rPr>
        <w:t xml:space="preserve"> </w:t>
      </w:r>
    </w:p>
    <w:p w:rsidR="003351A8" w:rsidRPr="00C24606" w:rsidP="00C709C0" w14:paraId="64651F30" w14:textId="77777777">
      <w:pPr>
        <w:jc w:val="both"/>
        <w:rPr>
          <w:rFonts w:asciiTheme="minorHAnsi" w:hAnsiTheme="minorHAnsi" w:cstheme="minorHAnsi"/>
          <w:b/>
          <w:sz w:val="28"/>
          <w:szCs w:val="28"/>
        </w:rPr>
      </w:pPr>
    </w:p>
    <w:p w:rsidR="00D60681" w:rsidRPr="00C24606" w:rsidP="00C709C0" w14:paraId="166A705F" w14:textId="77777777">
      <w:pPr>
        <w:jc w:val="both"/>
        <w:rPr>
          <w:rFonts w:asciiTheme="minorHAnsi" w:hAnsiTheme="minorHAnsi" w:cstheme="minorHAnsi"/>
          <w:b/>
          <w:sz w:val="28"/>
          <w:szCs w:val="28"/>
        </w:rPr>
      </w:pPr>
    </w:p>
    <w:p w:rsidR="003351A8" w:rsidRPr="00C24606" w:rsidP="00C709C0" w14:paraId="0C65B0A0" w14:textId="77777777">
      <w:pPr>
        <w:jc w:val="both"/>
        <w:rPr>
          <w:rFonts w:asciiTheme="minorHAnsi" w:hAnsiTheme="minorHAnsi" w:cstheme="minorHAnsi"/>
          <w:b/>
          <w:sz w:val="28"/>
          <w:szCs w:val="28"/>
        </w:rPr>
      </w:pPr>
    </w:p>
    <w:p w:rsidR="00564925" w:rsidRPr="00C24606" w:rsidP="00C709C0" w14:paraId="3435A1DF" w14:textId="6C615090">
      <w:pPr>
        <w:jc w:val="both"/>
        <w:rPr>
          <w:rFonts w:asciiTheme="minorHAnsi" w:hAnsiTheme="minorHAnsi" w:cstheme="minorHAnsi"/>
          <w:b/>
          <w:sz w:val="28"/>
          <w:szCs w:val="28"/>
        </w:rPr>
      </w:pPr>
      <w:r w:rsidRPr="00C24606">
        <w:rPr>
          <w:rFonts w:asciiTheme="minorHAnsi" w:hAnsiTheme="minorHAnsi" w:cstheme="minorHAnsi"/>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393065</wp:posOffset>
            </wp:positionV>
            <wp:extent cx="4399280" cy="923925"/>
            <wp:effectExtent l="0" t="0" r="127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399280" cy="92392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rsidR="00564925" w:rsidRPr="00C24606" w:rsidP="00C709C0" w14:paraId="088FC740" w14:textId="4B99F538">
      <w:pPr>
        <w:tabs>
          <w:tab w:val="left" w:pos="3630"/>
        </w:tabs>
        <w:jc w:val="both"/>
        <w:rPr>
          <w:rFonts w:asciiTheme="minorHAnsi" w:hAnsiTheme="minorHAnsi" w:cstheme="minorHAnsi"/>
          <w:b/>
          <w:sz w:val="28"/>
          <w:szCs w:val="28"/>
        </w:rPr>
      </w:pPr>
      <w:r w:rsidRPr="00C24606">
        <w:rPr>
          <w:rFonts w:asciiTheme="minorHAnsi" w:hAnsiTheme="minorHAnsi" w:cstheme="minorHAnsi"/>
          <w:b/>
          <w:sz w:val="28"/>
          <w:szCs w:val="28"/>
        </w:rPr>
        <w:tab/>
      </w:r>
    </w:p>
    <w:p w:rsidR="00564925" w:rsidRPr="00C24606" w:rsidP="00C709C0" w14:paraId="0EDB908F" w14:textId="77777777">
      <w:pPr>
        <w:jc w:val="both"/>
        <w:rPr>
          <w:rFonts w:asciiTheme="minorHAnsi" w:hAnsiTheme="minorHAnsi" w:cstheme="minorHAnsi"/>
          <w:b/>
          <w:sz w:val="28"/>
          <w:szCs w:val="28"/>
        </w:rPr>
      </w:pPr>
    </w:p>
    <w:p w:rsidR="00564925" w:rsidRPr="00C24606" w:rsidP="00C709C0" w14:paraId="18457B2B" w14:textId="77777777">
      <w:pPr>
        <w:jc w:val="both"/>
        <w:rPr>
          <w:rFonts w:asciiTheme="minorHAnsi" w:hAnsiTheme="minorHAnsi" w:cstheme="minorHAnsi"/>
          <w:b/>
          <w:color w:val="000000" w:themeColor="text1"/>
          <w:sz w:val="36"/>
          <w:szCs w:val="28"/>
        </w:rPr>
      </w:pPr>
    </w:p>
    <w:p w:rsidR="00F64A83" w:rsidRPr="00C24606" w:rsidP="000C316A" w14:paraId="3C92E375" w14:textId="145557DB">
      <w:pPr>
        <w:jc w:val="center"/>
        <w:rPr>
          <w:rFonts w:asciiTheme="minorHAnsi" w:hAnsiTheme="minorHAnsi" w:cstheme="minorHAnsi"/>
          <w:b/>
          <w:color w:val="000000" w:themeColor="text1"/>
          <w:sz w:val="44"/>
          <w:szCs w:val="36"/>
        </w:rPr>
      </w:pPr>
      <w:r w:rsidRPr="00C24606">
        <w:rPr>
          <w:rFonts w:asciiTheme="minorHAnsi" w:hAnsiTheme="minorHAnsi" w:cstheme="minorHAnsi"/>
          <w:b/>
          <w:color w:val="000000" w:themeColor="text1"/>
          <w:sz w:val="44"/>
          <w:szCs w:val="36"/>
        </w:rPr>
        <w:t>Strategick</w:t>
      </w:r>
      <w:r w:rsidRPr="00C24606" w:rsidR="00564925">
        <w:rPr>
          <w:rFonts w:asciiTheme="minorHAnsi" w:hAnsiTheme="minorHAnsi" w:cstheme="minorHAnsi"/>
          <w:b/>
          <w:color w:val="000000" w:themeColor="text1"/>
          <w:sz w:val="44"/>
          <w:szCs w:val="36"/>
        </w:rPr>
        <w:t>ý</w:t>
      </w:r>
      <w:r w:rsidRPr="00C24606" w:rsidR="006C7F74">
        <w:rPr>
          <w:rFonts w:asciiTheme="minorHAnsi" w:hAnsiTheme="minorHAnsi" w:cstheme="minorHAnsi"/>
          <w:b/>
          <w:color w:val="000000" w:themeColor="text1"/>
          <w:sz w:val="44"/>
          <w:szCs w:val="36"/>
        </w:rPr>
        <w:t xml:space="preserve"> rám</w:t>
      </w:r>
      <w:r w:rsidRPr="00C24606" w:rsidR="00564925">
        <w:rPr>
          <w:rFonts w:asciiTheme="minorHAnsi" w:hAnsiTheme="minorHAnsi" w:cstheme="minorHAnsi"/>
          <w:b/>
          <w:color w:val="000000" w:themeColor="text1"/>
          <w:sz w:val="44"/>
          <w:szCs w:val="36"/>
        </w:rPr>
        <w:t>ec</w:t>
      </w:r>
      <w:r w:rsidRPr="00C24606" w:rsidR="000C5428">
        <w:rPr>
          <w:rFonts w:asciiTheme="minorHAnsi" w:hAnsiTheme="minorHAnsi" w:cstheme="minorHAnsi"/>
          <w:b/>
          <w:color w:val="000000" w:themeColor="text1"/>
          <w:sz w:val="44"/>
          <w:szCs w:val="36"/>
        </w:rPr>
        <w:t xml:space="preserve"> rozvoje péče o zdraví v České republice do roku </w:t>
      </w:r>
      <w:r w:rsidRPr="00C24606">
        <w:rPr>
          <w:rFonts w:asciiTheme="minorHAnsi" w:hAnsiTheme="minorHAnsi" w:cstheme="minorHAnsi"/>
          <w:b/>
          <w:color w:val="000000" w:themeColor="text1"/>
          <w:sz w:val="44"/>
          <w:szCs w:val="36"/>
        </w:rPr>
        <w:t>203</w:t>
      </w:r>
      <w:r w:rsidR="00DF5F3D">
        <w:rPr>
          <w:rFonts w:asciiTheme="minorHAnsi" w:hAnsiTheme="minorHAnsi" w:cstheme="minorHAnsi"/>
          <w:b/>
          <w:color w:val="000000" w:themeColor="text1"/>
          <w:sz w:val="44"/>
          <w:szCs w:val="36"/>
        </w:rPr>
        <w:t>5</w:t>
      </w:r>
    </w:p>
    <w:p w:rsidR="0085518B" w:rsidRPr="00C24606" w:rsidP="00C709C0" w14:paraId="6A2CDA3D" w14:textId="77777777">
      <w:pPr>
        <w:jc w:val="both"/>
        <w:rPr>
          <w:rFonts w:asciiTheme="minorHAnsi" w:hAnsiTheme="minorHAnsi" w:cstheme="minorHAnsi"/>
          <w:b/>
          <w:color w:val="1F497D" w:themeColor="text2"/>
          <w:sz w:val="44"/>
          <w:szCs w:val="36"/>
        </w:rPr>
      </w:pPr>
    </w:p>
    <w:p w:rsidR="00564925" w:rsidRPr="00C24606" w:rsidP="00C709C0" w14:paraId="55BD5516" w14:textId="77777777">
      <w:pPr>
        <w:jc w:val="both"/>
        <w:rPr>
          <w:rFonts w:asciiTheme="minorHAnsi" w:hAnsiTheme="minorHAnsi" w:cstheme="minorHAnsi"/>
          <w:b/>
          <w:color w:val="1F497D" w:themeColor="text2"/>
          <w:sz w:val="44"/>
          <w:szCs w:val="36"/>
        </w:rPr>
      </w:pPr>
    </w:p>
    <w:p w:rsidR="00B70D43" w:rsidRPr="00C24606" w:rsidP="00C709C0" w14:paraId="5B7621A7" w14:textId="77777777">
      <w:pPr>
        <w:jc w:val="both"/>
        <w:rPr>
          <w:rFonts w:asciiTheme="minorHAnsi" w:hAnsiTheme="minorHAnsi" w:cstheme="minorHAnsi"/>
          <w:b/>
          <w:color w:val="1F497D" w:themeColor="text2"/>
          <w:sz w:val="44"/>
          <w:szCs w:val="36"/>
        </w:rPr>
      </w:pPr>
    </w:p>
    <w:p w:rsidR="00B70D43" w:rsidRPr="00C24606" w:rsidP="00C709C0" w14:paraId="5DF5FCC0" w14:textId="77777777">
      <w:pPr>
        <w:jc w:val="both"/>
        <w:rPr>
          <w:rFonts w:asciiTheme="minorHAnsi" w:hAnsiTheme="minorHAnsi" w:cstheme="minorHAnsi"/>
          <w:b/>
          <w:color w:val="1F497D" w:themeColor="text2"/>
          <w:sz w:val="44"/>
          <w:szCs w:val="36"/>
        </w:rPr>
      </w:pPr>
    </w:p>
    <w:p w:rsidR="00564925" w:rsidRPr="00C24606" w:rsidP="00C709C0" w14:paraId="40EE3FF8" w14:textId="77777777">
      <w:pPr>
        <w:jc w:val="both"/>
        <w:rPr>
          <w:rFonts w:asciiTheme="minorHAnsi" w:hAnsiTheme="minorHAnsi" w:cstheme="minorHAnsi"/>
          <w:b/>
          <w:color w:val="1F497D" w:themeColor="text2"/>
          <w:sz w:val="44"/>
          <w:szCs w:val="36"/>
        </w:rPr>
      </w:pPr>
    </w:p>
    <w:p w:rsidR="00564925" w:rsidRPr="00C24606" w:rsidP="000C316A" w14:paraId="0F18EE5B" w14:textId="4851115C">
      <w:pPr>
        <w:jc w:val="center"/>
        <w:rPr>
          <w:rFonts w:asciiTheme="minorHAnsi" w:hAnsiTheme="minorHAnsi" w:cstheme="minorHAnsi"/>
          <w:b/>
          <w:color w:val="1F497D" w:themeColor="text2"/>
          <w:sz w:val="44"/>
          <w:szCs w:val="36"/>
        </w:rPr>
      </w:pPr>
      <w:r w:rsidRPr="00C24606">
        <w:rPr>
          <w:rFonts w:asciiTheme="minorHAnsi" w:hAnsiTheme="minorHAnsi" w:cstheme="minorHAnsi"/>
          <w:b/>
          <w:color w:val="1F497D" w:themeColor="text2"/>
          <w:sz w:val="44"/>
          <w:szCs w:val="36"/>
        </w:rPr>
        <w:t xml:space="preserve">Implementační plán č. </w:t>
      </w:r>
      <w:r w:rsidRPr="00C24606" w:rsidR="00D13DF6">
        <w:rPr>
          <w:rFonts w:asciiTheme="minorHAnsi" w:hAnsiTheme="minorHAnsi" w:cstheme="minorHAnsi"/>
          <w:b/>
          <w:color w:val="1F497D" w:themeColor="text2"/>
          <w:sz w:val="44"/>
          <w:szCs w:val="36"/>
        </w:rPr>
        <w:t>2.</w:t>
      </w:r>
      <w:r w:rsidRPr="00C24606" w:rsidR="00F41CA6">
        <w:rPr>
          <w:rFonts w:asciiTheme="minorHAnsi" w:hAnsiTheme="minorHAnsi" w:cstheme="minorHAnsi"/>
          <w:b/>
          <w:color w:val="1F497D" w:themeColor="text2"/>
          <w:sz w:val="44"/>
          <w:szCs w:val="36"/>
        </w:rPr>
        <w:t>3</w:t>
      </w:r>
    </w:p>
    <w:p w:rsidR="00E9515A" w:rsidRPr="00C24606" w:rsidP="000C316A" w14:paraId="4A7CC3B1" w14:textId="77777777">
      <w:pPr>
        <w:jc w:val="center"/>
        <w:rPr>
          <w:rFonts w:asciiTheme="minorHAnsi" w:hAnsiTheme="minorHAnsi" w:cstheme="minorHAnsi"/>
          <w:b/>
          <w:color w:val="1F497D" w:themeColor="text2"/>
          <w:sz w:val="44"/>
          <w:szCs w:val="36"/>
        </w:rPr>
      </w:pPr>
      <w:r w:rsidRPr="00C24606">
        <w:rPr>
          <w:rFonts w:asciiTheme="minorHAnsi" w:hAnsiTheme="minorHAnsi" w:cstheme="minorHAnsi"/>
          <w:b/>
          <w:color w:val="1F497D" w:themeColor="text2"/>
          <w:sz w:val="44"/>
          <w:szCs w:val="36"/>
        </w:rPr>
        <w:t>Digitalizace</w:t>
      </w:r>
      <w:r w:rsidRPr="00C24606" w:rsidR="006608F3">
        <w:rPr>
          <w:rFonts w:asciiTheme="minorHAnsi" w:hAnsiTheme="minorHAnsi" w:cstheme="minorHAnsi"/>
          <w:b/>
          <w:color w:val="1F497D" w:themeColor="text2"/>
          <w:sz w:val="44"/>
          <w:szCs w:val="36"/>
        </w:rPr>
        <w:t xml:space="preserve"> zdravotnictví</w:t>
      </w:r>
    </w:p>
    <w:p w:rsidR="006608F3" w:rsidRPr="00C24606" w:rsidP="000C316A" w14:paraId="2F6C44B4" w14:textId="77777777">
      <w:pPr>
        <w:jc w:val="center"/>
        <w:rPr>
          <w:rFonts w:asciiTheme="minorHAnsi" w:hAnsiTheme="minorHAnsi" w:cstheme="minorHAnsi"/>
          <w:color w:val="1F497D" w:themeColor="text2"/>
          <w:sz w:val="36"/>
          <w:szCs w:val="36"/>
        </w:rPr>
      </w:pPr>
    </w:p>
    <w:p w:rsidR="001D3B85" w:rsidRPr="00C24606" w:rsidP="000C316A" w14:paraId="67947A57" w14:textId="77777777">
      <w:pPr>
        <w:jc w:val="center"/>
        <w:rPr>
          <w:rFonts w:asciiTheme="minorHAnsi" w:hAnsiTheme="minorHAnsi" w:cstheme="minorHAnsi"/>
          <w:b/>
          <w:i/>
          <w:color w:val="1F497D" w:themeColor="text2"/>
          <w:sz w:val="36"/>
          <w:szCs w:val="36"/>
          <w:highlight w:val="lightGray"/>
        </w:rPr>
      </w:pPr>
      <w:r w:rsidRPr="00C24606">
        <w:rPr>
          <w:rFonts w:asciiTheme="minorHAnsi" w:hAnsiTheme="minorHAnsi" w:cstheme="minorHAnsi"/>
          <w:b/>
          <w:i/>
          <w:noProof/>
          <w:color w:val="1F497D" w:themeColor="text2"/>
          <w:sz w:val="36"/>
          <w:szCs w:val="36"/>
        </w:rPr>
        <w:drawing>
          <wp:inline distT="0" distB="0" distL="0" distR="0">
            <wp:extent cx="2076705" cy="20859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ko-2-3.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090129" cy="2099459"/>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45FF2401"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C24606" w:rsidP="00C709C0" w14:paraId="46264A59" w14:textId="77777777">
            <w:pPr>
              <w:keepNext/>
              <w:spacing w:after="120"/>
              <w:jc w:val="both"/>
              <w:rPr>
                <w:rFonts w:asciiTheme="minorHAnsi" w:hAnsiTheme="minorHAnsi" w:cstheme="minorHAnsi"/>
                <w:b/>
              </w:rPr>
            </w:pPr>
            <w:bookmarkStart w:id="0" w:name="_Toc453696095"/>
            <w:r w:rsidRPr="00C24606">
              <w:rPr>
                <w:rFonts w:asciiTheme="minorHAnsi" w:hAnsiTheme="minorHAnsi" w:cstheme="minorHAnsi"/>
                <w:b/>
                <w:color w:val="205489"/>
              </w:rPr>
              <w:t>SOUHRN</w:t>
            </w:r>
          </w:p>
        </w:tc>
      </w:tr>
      <w:tr w14:paraId="159186B9" w14:textId="77777777" w:rsidTr="00B70D43">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B70D43" w:rsidRPr="00C24606" w:rsidP="00C709C0" w14:paraId="681514E0" w14:textId="77777777">
            <w:pPr>
              <w:keepNext/>
              <w:keepLines/>
              <w:spacing w:before="80" w:after="80"/>
              <w:ind w:left="357" w:hanging="357"/>
              <w:jc w:val="both"/>
              <w:rPr>
                <w:rFonts w:asciiTheme="minorHAnsi" w:hAnsiTheme="minorHAns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C24606">
              <w:rPr>
                <w:rFonts w:asciiTheme="minorHAnsi" w:hAnsiTheme="minorHAns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C24606">
              <w:rPr>
                <w:rFonts w:asciiTheme="minorHAnsi" w:hAnsiTheme="minorHAnsi" w:cstheme="minorHAnsi"/>
                <w:b/>
              </w:rPr>
              <w:t xml:space="preserve"> </w:t>
            </w:r>
            <w:bookmarkEnd w:id="14"/>
          </w:p>
        </w:tc>
        <w:tc>
          <w:tcPr>
            <w:tcW w:w="6932" w:type="dxa"/>
            <w:shd w:val="clear" w:color="auto" w:fill="auto"/>
            <w:tcMar>
              <w:left w:w="88" w:type="dxa"/>
            </w:tcMar>
            <w:vAlign w:val="center"/>
          </w:tcPr>
          <w:p w:rsidR="00B70D43" w:rsidRPr="00C24606" w:rsidP="00C709C0" w14:paraId="0BCEBF67" w14:textId="77777777">
            <w:pPr>
              <w:keepNext/>
              <w:keepLines/>
              <w:tabs>
                <w:tab w:val="left" w:pos="1843"/>
              </w:tabs>
              <w:spacing w:after="120"/>
              <w:jc w:val="both"/>
              <w:rPr>
                <w:rFonts w:asciiTheme="minorHAnsi" w:hAnsiTheme="minorHAnsi" w:cstheme="minorHAnsi"/>
                <w:i/>
                <w:caps/>
              </w:rPr>
            </w:pPr>
            <w:r w:rsidRPr="00C24606">
              <w:rPr>
                <w:rFonts w:asciiTheme="minorHAnsi" w:hAnsiTheme="minorHAnsi" w:cstheme="minorHAnsi"/>
              </w:rPr>
              <w:t>Digitalizace zdravotnictví</w:t>
            </w:r>
          </w:p>
        </w:tc>
      </w:tr>
      <w:tr w14:paraId="2EA6334E"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C24606" w:rsidP="00C709C0" w14:paraId="0AEA1272" w14:textId="77777777">
            <w:pPr>
              <w:keepNext/>
              <w:keepLines/>
              <w:spacing w:before="80" w:after="80"/>
              <w:ind w:left="357" w:hanging="357"/>
              <w:jc w:val="both"/>
              <w:rPr>
                <w:rFonts w:asciiTheme="minorHAnsi" w:hAnsiTheme="minorHAns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C24606">
              <w:rPr>
                <w:rFonts w:asciiTheme="minorHAnsi" w:hAnsiTheme="minorHAns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C24606" w:rsidP="00C709C0" w14:paraId="50D24B79" w14:textId="77777777">
            <w:pPr>
              <w:keepNext/>
              <w:keepLines/>
              <w:tabs>
                <w:tab w:val="left" w:pos="1843"/>
              </w:tabs>
              <w:spacing w:after="120"/>
              <w:ind w:left="357" w:hanging="357"/>
              <w:jc w:val="both"/>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C24606">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59B06D4E"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C24606" w:rsidP="00C709C0" w14:paraId="390B02B7" w14:textId="77777777">
            <w:pPr>
              <w:keepNext/>
              <w:keepLines/>
              <w:tabs>
                <w:tab w:val="left" w:pos="1843"/>
              </w:tabs>
              <w:spacing w:before="80" w:after="80"/>
              <w:jc w:val="both"/>
              <w:rPr>
                <w:rFonts w:asciiTheme="minorHAnsi" w:hAnsiTheme="minorHAns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C24606">
              <w:rPr>
                <w:rFonts w:asciiTheme="minorHAnsi" w:hAnsiTheme="minorHAns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C24606" w:rsidP="00C709C0" w14:paraId="7673F5FA" w14:textId="73C43DE8">
            <w:pPr>
              <w:keepNext/>
              <w:keepLines/>
              <w:tabs>
                <w:tab w:val="left" w:pos="1843"/>
              </w:tabs>
              <w:spacing w:after="120"/>
              <w:ind w:left="-49"/>
              <w:jc w:val="both"/>
              <w:rPr>
                <w:rFonts w:asciiTheme="minorHAnsi" w:hAnsiTheme="minorHAnsi" w:cstheme="minorHAnsi"/>
                <w:b/>
                <w:color w:val="FF0000"/>
              </w:rPr>
            </w:pPr>
            <w:r>
              <w:rPr>
                <w:rFonts w:asciiTheme="minorHAnsi" w:hAnsiTheme="minorHAnsi" w:cstheme="minorHAnsi"/>
              </w:rPr>
              <w:t>vrchní ředitel</w:t>
            </w:r>
            <w:r w:rsidRPr="00C24606">
              <w:rPr>
                <w:rFonts w:asciiTheme="minorHAnsi" w:hAnsiTheme="minorHAnsi" w:cstheme="minorHAnsi"/>
              </w:rPr>
              <w:t xml:space="preserve"> </w:t>
            </w:r>
            <w:r w:rsidR="00FC1976">
              <w:rPr>
                <w:rFonts w:asciiTheme="minorHAnsi" w:hAnsiTheme="minorHAnsi" w:cstheme="minorHAnsi"/>
              </w:rPr>
              <w:t xml:space="preserve">sekce pro informační a komunikační technologie </w:t>
            </w:r>
          </w:p>
        </w:tc>
      </w:tr>
      <w:tr w14:paraId="51B576B9"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C24606" w:rsidP="00C709C0" w14:paraId="605E4258" w14:textId="77777777">
            <w:pPr>
              <w:keepNext/>
              <w:keepLines/>
              <w:tabs>
                <w:tab w:val="left" w:pos="1843"/>
              </w:tabs>
              <w:spacing w:before="80" w:after="80"/>
              <w:jc w:val="both"/>
              <w:rPr>
                <w:rFonts w:asciiTheme="minorHAnsi" w:hAnsiTheme="minorHAns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C24606">
              <w:rPr>
                <w:rFonts w:asciiTheme="minorHAnsi" w:hAnsiTheme="minorHAnsi" w:cstheme="minorHAnsi"/>
                <w:b/>
              </w:rPr>
              <w:t xml:space="preserve">Rok </w:t>
            </w:r>
            <w:bookmarkEnd w:id="57"/>
            <w:r w:rsidRPr="00C24606">
              <w:rPr>
                <w:rFonts w:asciiTheme="minorHAnsi" w:hAnsiTheme="minorHAns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655B6A" w:rsidRPr="00C24606" w:rsidP="00C709C0" w14:paraId="1B241139" w14:textId="064B77C1">
            <w:pPr>
              <w:keepNext/>
              <w:keepLines/>
              <w:tabs>
                <w:tab w:val="left" w:pos="1843"/>
              </w:tabs>
              <w:spacing w:after="120"/>
              <w:ind w:left="357" w:hanging="357"/>
              <w:jc w:val="both"/>
              <w:rPr>
                <w:rFonts w:asciiTheme="minorHAnsi" w:hAnsiTheme="minorHAnsi" w:cstheme="minorHAnsi"/>
              </w:rPr>
            </w:pPr>
            <w:r>
              <w:rPr>
                <w:rFonts w:asciiTheme="minorHAnsi" w:hAnsiTheme="minorHAnsi" w:cstheme="minorHAnsi"/>
              </w:rPr>
              <w:t>2024-2025</w:t>
            </w:r>
          </w:p>
        </w:tc>
      </w:tr>
      <w:tr w14:paraId="321A4AB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399867D5" w14:textId="77777777">
            <w:pPr>
              <w:keepNext/>
              <w:keepLines/>
              <w:tabs>
                <w:tab w:val="left" w:pos="1843"/>
              </w:tabs>
              <w:spacing w:before="80" w:after="80"/>
              <w:jc w:val="both"/>
              <w:rPr>
                <w:rFonts w:asciiTheme="minorHAnsi" w:hAnsiTheme="minorHAns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C24606">
              <w:rPr>
                <w:rFonts w:asciiTheme="minorHAnsi" w:hAnsiTheme="minorHAns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C24606" w:rsidP="00C709C0" w14:paraId="26D41AF1" w14:textId="77777777">
            <w:pPr>
              <w:keepNext/>
              <w:keepLines/>
              <w:tabs>
                <w:tab w:val="left" w:pos="1843"/>
              </w:tabs>
              <w:spacing w:after="120"/>
              <w:ind w:left="357" w:hanging="357"/>
              <w:jc w:val="both"/>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C24606">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3B87479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35B247E5" w14:textId="77777777">
            <w:pPr>
              <w:keepNext/>
              <w:keepLines/>
              <w:tabs>
                <w:tab w:val="left" w:pos="1843"/>
              </w:tabs>
              <w:spacing w:before="80" w:after="80"/>
              <w:ind w:left="357" w:hanging="357"/>
              <w:jc w:val="both"/>
              <w:rPr>
                <w:rFonts w:asciiTheme="minorHAnsi" w:hAnsiTheme="minorHAns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C24606">
              <w:rPr>
                <w:rFonts w:asciiTheme="minorHAnsi" w:hAnsiTheme="minorHAns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C24606" w:rsidP="00C709C0" w14:paraId="137CF31C" w14:textId="77777777">
            <w:pPr>
              <w:keepNext/>
              <w:spacing w:after="120"/>
              <w:jc w:val="both"/>
              <w:rPr>
                <w:rFonts w:asciiTheme="minorHAnsi" w:hAnsiTheme="minorHAnsi" w:cstheme="minorHAnsi"/>
              </w:rPr>
            </w:pPr>
          </w:p>
        </w:tc>
      </w:tr>
      <w:tr w14:paraId="52D593D6"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4FD37F6B" w14:textId="77777777">
            <w:pPr>
              <w:keepNext/>
              <w:keepLines/>
              <w:tabs>
                <w:tab w:val="left" w:pos="1843"/>
              </w:tabs>
              <w:spacing w:before="80" w:after="80"/>
              <w:ind w:left="357" w:hanging="357"/>
              <w:jc w:val="both"/>
              <w:rPr>
                <w:rFonts w:asciiTheme="minorHAnsi" w:hAnsiTheme="minorHAns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C24606">
              <w:rPr>
                <w:rFonts w:asciiTheme="minorHAnsi" w:hAnsiTheme="minorHAns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B70D43" w:rsidRPr="00C24606" w:rsidP="00C709C0" w14:paraId="7FCC11D8" w14:textId="0500671C">
            <w:pPr>
              <w:keepNext/>
              <w:keepLines/>
              <w:tabs>
                <w:tab w:val="left" w:pos="1843"/>
              </w:tabs>
              <w:spacing w:after="120"/>
              <w:ind w:left="357" w:hanging="357"/>
              <w:jc w:val="both"/>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C24606">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C24606">
              <w:rPr>
                <w:rFonts w:asciiTheme="minorHAnsi" w:hAnsiTheme="minorHAnsi" w:cstheme="minorHAnsi"/>
              </w:rPr>
              <w:t xml:space="preserve"> č.</w:t>
            </w:r>
            <w:r w:rsidR="006B5797">
              <w:rPr>
                <w:rFonts w:asciiTheme="minorHAnsi" w:hAnsiTheme="minorHAnsi" w:cstheme="minorHAnsi"/>
              </w:rPr>
              <w:t xml:space="preserve"> </w:t>
            </w:r>
            <w:r w:rsidR="006952A1">
              <w:rPr>
                <w:rFonts w:asciiTheme="minorHAnsi" w:hAnsiTheme="minorHAnsi" w:cstheme="minorHAnsi"/>
              </w:rPr>
              <w:t>817/2019</w:t>
            </w:r>
            <w:r w:rsidRPr="00C24606">
              <w:rPr>
                <w:rFonts w:asciiTheme="minorHAnsi" w:hAnsiTheme="minorHAnsi" w:cstheme="minorHAnsi"/>
              </w:rPr>
              <w:t xml:space="preserve">   </w:t>
            </w:r>
          </w:p>
        </w:tc>
      </w:tr>
      <w:tr w14:paraId="5FB97C0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6695690F" w14:textId="77777777">
            <w:pPr>
              <w:keepNext/>
              <w:keepLines/>
              <w:tabs>
                <w:tab w:val="left" w:pos="1843"/>
              </w:tabs>
              <w:spacing w:before="80" w:after="80"/>
              <w:ind w:left="357" w:hanging="357"/>
              <w:jc w:val="both"/>
              <w:rPr>
                <w:rFonts w:asciiTheme="minorHAnsi" w:hAnsiTheme="minorHAns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C24606">
              <w:rPr>
                <w:rFonts w:asciiTheme="minorHAnsi" w:hAnsiTheme="minorHAns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C24606" w:rsidP="00C709C0" w14:paraId="0CEC4902" w14:textId="7919BDA0">
            <w:pPr>
              <w:keepNext/>
              <w:spacing w:after="120"/>
              <w:jc w:val="both"/>
              <w:rPr>
                <w:rFonts w:asciiTheme="minorHAnsi" w:hAnsiTheme="minorHAnsi" w:cstheme="minorHAnsi"/>
              </w:rPr>
            </w:pPr>
            <w:r>
              <w:rPr>
                <w:rFonts w:asciiTheme="minorHAnsi" w:hAnsiTheme="minorHAnsi" w:cstheme="minorHAnsi"/>
              </w:rPr>
              <w:t xml:space="preserve">  </w:t>
            </w:r>
            <w:r w:rsidR="00655B6A">
              <w:rPr>
                <w:rFonts w:asciiTheme="minorHAnsi" w:hAnsiTheme="minorHAnsi" w:cstheme="minorHAnsi"/>
              </w:rPr>
              <w:t>2025</w:t>
            </w:r>
          </w:p>
        </w:tc>
      </w:tr>
      <w:tr w14:paraId="633B572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69D93D57" w14:textId="77777777">
            <w:pPr>
              <w:keepNext/>
              <w:keepLines/>
              <w:tabs>
                <w:tab w:val="left" w:pos="1843"/>
              </w:tabs>
              <w:spacing w:before="80" w:after="80"/>
              <w:ind w:left="357" w:hanging="357"/>
              <w:jc w:val="both"/>
              <w:rPr>
                <w:rFonts w:asciiTheme="minorHAnsi" w:hAnsiTheme="minorHAns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C24606">
              <w:rPr>
                <w:rFonts w:asciiTheme="minorHAnsi" w:hAnsiTheme="minorHAns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C24606" w:rsidP="00C709C0" w14:paraId="4E13100A" w14:textId="77777777">
            <w:pPr>
              <w:keepNext/>
              <w:keepLines/>
              <w:tabs>
                <w:tab w:val="left" w:pos="1843"/>
              </w:tabs>
              <w:spacing w:after="120"/>
              <w:jc w:val="both"/>
              <w:rPr>
                <w:rFonts w:asciiTheme="minorHAnsi" w:hAnsiTheme="minorHAnsi" w:cstheme="minorHAnsi"/>
              </w:rPr>
            </w:pPr>
          </w:p>
          <w:p w:rsidR="00B70D43" w:rsidRPr="00C24606" w:rsidP="00C709C0" w14:paraId="4C5B3CE1" w14:textId="32DF125C">
            <w:pPr>
              <w:keepNext/>
              <w:spacing w:after="120"/>
              <w:jc w:val="both"/>
              <w:rPr>
                <w:rFonts w:asciiTheme="minorHAnsi" w:hAnsiTheme="minorHAnsi" w:cstheme="minorHAnsi"/>
              </w:rPr>
            </w:pPr>
            <w:r w:rsidRPr="00C24606">
              <w:rPr>
                <w:rFonts w:asciiTheme="minorHAnsi" w:hAnsiTheme="minorHAnsi" w:cstheme="minorHAnsi"/>
              </w:rPr>
              <w:t>202</w:t>
            </w:r>
            <w:r w:rsidR="00617846">
              <w:rPr>
                <w:rFonts w:asciiTheme="minorHAnsi" w:hAnsiTheme="minorHAnsi" w:cstheme="minorHAnsi"/>
              </w:rPr>
              <w:t>5</w:t>
            </w:r>
            <w:r w:rsidRPr="00C24606">
              <w:rPr>
                <w:rFonts w:asciiTheme="minorHAnsi" w:hAnsiTheme="minorHAnsi" w:cstheme="minorHAnsi"/>
              </w:rPr>
              <w:t>–203</w:t>
            </w:r>
            <w:r w:rsidR="00655B6A">
              <w:rPr>
                <w:rFonts w:asciiTheme="minorHAnsi" w:hAnsiTheme="minorHAnsi" w:cstheme="minorHAnsi"/>
              </w:rPr>
              <w:t>5</w:t>
            </w:r>
          </w:p>
        </w:tc>
      </w:tr>
      <w:tr w14:paraId="1CCABE21"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C24606" w:rsidP="00C709C0" w14:paraId="768A938E" w14:textId="77777777">
            <w:pPr>
              <w:keepNext/>
              <w:keepLines/>
              <w:tabs>
                <w:tab w:val="left" w:pos="1843"/>
              </w:tabs>
              <w:spacing w:before="80" w:after="80"/>
              <w:ind w:left="357" w:hanging="357"/>
              <w:jc w:val="both"/>
              <w:rPr>
                <w:rFonts w:asciiTheme="minorHAnsi" w:hAnsiTheme="minorHAns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C24606">
              <w:rPr>
                <w:rFonts w:asciiTheme="minorHAnsi" w:hAnsiTheme="minorHAns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C24606" w:rsidP="00C709C0" w14:paraId="3D4BB77B" w14:textId="77777777">
            <w:pPr>
              <w:keepNext/>
              <w:keepLines/>
              <w:tabs>
                <w:tab w:val="left" w:pos="1843"/>
              </w:tabs>
              <w:spacing w:after="120"/>
              <w:ind w:left="357" w:hanging="357"/>
              <w:jc w:val="both"/>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C24606">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50DF2E9E"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C24606" w:rsidP="00C709C0" w14:paraId="28ECC6AA" w14:textId="77777777">
            <w:pPr>
              <w:keepNext/>
              <w:keepLines/>
              <w:tabs>
                <w:tab w:val="left" w:pos="1843"/>
              </w:tabs>
              <w:spacing w:before="80" w:after="80"/>
              <w:jc w:val="both"/>
              <w:rPr>
                <w:rFonts w:asciiTheme="minorHAnsi" w:hAnsiTheme="minorHAns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C24606">
              <w:rPr>
                <w:rFonts w:asciiTheme="minorHAnsi" w:hAnsiTheme="minorHAns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677A8" w:rsidP="00C709C0" w14:paraId="3D6246B2" w14:textId="77777777">
            <w:pPr>
              <w:jc w:val="both"/>
              <w:rPr>
                <w:rFonts w:ascii="Calibri" w:hAnsi="Calibri"/>
              </w:rPr>
            </w:pPr>
            <w:r w:rsidRPr="00C24606">
              <w:rPr>
                <w:rFonts w:asciiTheme="minorHAnsi" w:hAnsiTheme="minorHAnsi" w:cstheme="minorHAnsi"/>
              </w:rPr>
              <w:t xml:space="preserve">Implementační plán je hlavní prováděcí dokument specifického cíle </w:t>
            </w:r>
            <w:r w:rsidRPr="00C24606" w:rsidR="00D13DF6">
              <w:rPr>
                <w:rFonts w:asciiTheme="minorHAnsi" w:hAnsiTheme="minorHAnsi" w:cstheme="minorHAnsi"/>
              </w:rPr>
              <w:t>2.</w:t>
            </w:r>
            <w:r w:rsidRPr="00C24606" w:rsidR="00FC4344">
              <w:rPr>
                <w:rFonts w:asciiTheme="minorHAnsi" w:hAnsiTheme="minorHAnsi" w:cstheme="minorHAnsi"/>
              </w:rPr>
              <w:t>3</w:t>
            </w:r>
            <w:r w:rsidRPr="00C24606" w:rsidR="00D13DF6">
              <w:rPr>
                <w:rFonts w:asciiTheme="minorHAnsi" w:hAnsiTheme="minorHAnsi" w:cstheme="minorHAnsi"/>
              </w:rPr>
              <w:t>.</w:t>
            </w:r>
            <w:r w:rsidRPr="00C24606" w:rsidR="00F5451D">
              <w:rPr>
                <w:rFonts w:asciiTheme="minorHAnsi" w:hAnsiTheme="minorHAnsi" w:cstheme="minorHAnsi"/>
              </w:rPr>
              <w:t xml:space="preserve"> </w:t>
            </w:r>
            <w:r w:rsidRPr="00C24606" w:rsidR="00FC4344">
              <w:rPr>
                <w:rFonts w:asciiTheme="minorHAnsi" w:hAnsiTheme="minorHAnsi" w:cstheme="minorHAnsi"/>
              </w:rPr>
              <w:t>Digitalizace</w:t>
            </w:r>
            <w:r w:rsidRPr="00C24606" w:rsidR="00F5451D">
              <w:rPr>
                <w:rFonts w:asciiTheme="minorHAnsi" w:hAnsiTheme="minorHAnsi" w:cstheme="minorHAnsi"/>
              </w:rPr>
              <w:t xml:space="preserve"> zdravotnictví</w:t>
            </w:r>
            <w:r w:rsidRPr="00C24606" w:rsidR="0012145C">
              <w:rPr>
                <w:rFonts w:asciiTheme="minorHAnsi" w:hAnsiTheme="minorHAnsi" w:cstheme="minorHAnsi"/>
              </w:rPr>
              <w:t xml:space="preserve"> </w:t>
            </w:r>
            <w:r w:rsidRPr="00C24606">
              <w:rPr>
                <w:rFonts w:asciiTheme="minorHAnsi" w:hAnsiTheme="minorHAnsi" w:cstheme="minorHAnsi"/>
              </w:rPr>
              <w:t>Strategického rámce rozvoje péče o</w:t>
            </w:r>
            <w:r w:rsidRPr="00C24606" w:rsidR="00F5451D">
              <w:rPr>
                <w:rFonts w:asciiTheme="minorHAnsi" w:hAnsiTheme="minorHAnsi" w:cstheme="minorHAnsi"/>
              </w:rPr>
              <w:t> </w:t>
            </w:r>
            <w:r w:rsidRPr="00C24606">
              <w:rPr>
                <w:rFonts w:asciiTheme="minorHAnsi" w:hAnsiTheme="minorHAnsi" w:cstheme="minorHAnsi"/>
              </w:rPr>
              <w:t>zdraví v </w:t>
            </w:r>
            <w:r w:rsidRPr="00C24606" w:rsidR="00EB72D4">
              <w:rPr>
                <w:rFonts w:asciiTheme="minorHAnsi" w:hAnsiTheme="minorHAnsi" w:cstheme="minorHAnsi"/>
              </w:rPr>
              <w:t>Č</w:t>
            </w:r>
            <w:r w:rsidRPr="00C24606">
              <w:rPr>
                <w:rFonts w:asciiTheme="minorHAnsi" w:hAnsiTheme="minorHAnsi" w:cstheme="minorHAnsi"/>
              </w:rPr>
              <w:t>eské republice do roku 2030</w:t>
            </w:r>
            <w:r w:rsidR="00C23EC0">
              <w:rPr>
                <w:rFonts w:asciiTheme="minorHAnsi" w:hAnsiTheme="minorHAnsi" w:cstheme="minorHAnsi"/>
              </w:rPr>
              <w:t xml:space="preserve"> (dále jen „Strategický rámec Zdraví </w:t>
            </w:r>
            <w:r w:rsidR="00655B6A">
              <w:rPr>
                <w:rFonts w:asciiTheme="minorHAnsi" w:hAnsiTheme="minorHAnsi" w:cstheme="minorHAnsi"/>
              </w:rPr>
              <w:t>2035</w:t>
            </w:r>
            <w:r w:rsidR="00C23EC0">
              <w:rPr>
                <w:rFonts w:asciiTheme="minorHAnsi" w:hAnsiTheme="minorHAnsi" w:cstheme="minorHAnsi"/>
              </w:rPr>
              <w:t>“)</w:t>
            </w:r>
            <w:r w:rsidRPr="00C24606" w:rsidR="00EB72D4">
              <w:rPr>
                <w:rFonts w:asciiTheme="minorHAnsi" w:hAnsiTheme="minorHAnsi" w:cstheme="minorHAnsi"/>
              </w:rPr>
              <w:t>, který představuje zastřešující koncepční materiál resortu zdravotnictví na dalších 10 let</w:t>
            </w:r>
            <w:r w:rsidRPr="00C24606">
              <w:rPr>
                <w:rFonts w:asciiTheme="minorHAnsi" w:hAnsiTheme="minorHAnsi" w:cstheme="minorHAnsi"/>
              </w:rPr>
              <w:t>.</w:t>
            </w:r>
            <w:r w:rsidRPr="00C24606" w:rsidR="00EB72D4">
              <w:rPr>
                <w:rFonts w:asciiTheme="minorHAnsi" w:hAnsiTheme="minorHAnsi" w:cstheme="minorHAnsi"/>
              </w:rPr>
              <w:t xml:space="preserve"> </w:t>
            </w:r>
            <w:r w:rsidRPr="00E364AF" w:rsidR="00B469AC">
              <w:rPr>
                <w:rFonts w:ascii="Calibri" w:hAnsi="Calibri"/>
              </w:rPr>
              <w:t xml:space="preserve"> </w:t>
            </w:r>
          </w:p>
          <w:p w:rsidR="00B70D43" w:rsidRPr="00C24606" w:rsidP="00C709C0" w14:paraId="1E8E36F6" w14:textId="375F7AF0">
            <w:pPr>
              <w:jc w:val="both"/>
              <w:rPr>
                <w:rFonts w:asciiTheme="minorHAnsi" w:hAnsiTheme="minorHAnsi" w:cstheme="minorHAnsi"/>
              </w:rPr>
            </w:pPr>
            <w:r w:rsidRPr="00B677A8">
              <w:rPr>
                <w:rFonts w:asciiTheme="minorHAnsi" w:hAnsiTheme="minorHAnsi" w:cstheme="minorHAnsi"/>
              </w:rPr>
              <w:t xml:space="preserve">Strategický rámec Zdraví 2030 byl dne 13. července 2020 schválen usnesením vlády č. 743/20.  Na základě interního hodnocení plnění a s ohledem na aktuální dění bylo přistoupeno k aktualizaci Strategického rámce Zdraví 2030 a jeho prolongaci do roku 2035. Navrhované úpravy neovlivní jeho základní směřování ani soulad se Strategickým rámcem ČR 2030, naopak jsou přidány nové priority </w:t>
            </w:r>
            <w:r w:rsidRPr="00B677A8">
              <w:rPr>
                <w:rFonts w:asciiTheme="minorHAnsi" w:hAnsiTheme="minorHAnsi" w:cstheme="minorHAnsi"/>
              </w:rPr>
              <w:t>a</w:t>
            </w:r>
            <w:r>
              <w:rPr>
                <w:rFonts w:asciiTheme="minorHAnsi" w:hAnsiTheme="minorHAnsi" w:cstheme="minorHAnsi"/>
              </w:rPr>
              <w:t> </w:t>
            </w:r>
            <w:r w:rsidRPr="00B677A8">
              <w:rPr>
                <w:rFonts w:asciiTheme="minorHAnsi" w:hAnsiTheme="minorHAnsi" w:cstheme="minorHAnsi"/>
              </w:rPr>
              <w:t xml:space="preserve">cíle tak, aby bylo možné pokrýt i další oblasti, které prozatím nebyly ve Zdraví 2030 nijak ošetřeny. </w:t>
            </w:r>
            <w:r w:rsidRPr="00C24606" w:rsidR="00EB72D4">
              <w:rPr>
                <w:rFonts w:asciiTheme="minorHAnsi" w:hAnsiTheme="minorHAnsi" w:cstheme="minorHAnsi"/>
              </w:rPr>
              <w:t>Implementační plán může být doplněn dílčími strategickými a prováděcími dokumenty, jako jsou národní akční plány či samostatné strategie.</w:t>
            </w:r>
            <w:r w:rsidR="006952A1">
              <w:rPr>
                <w:rFonts w:asciiTheme="minorHAnsi" w:hAnsiTheme="minorHAnsi" w:cstheme="minorHAnsi"/>
              </w:rPr>
              <w:t xml:space="preserve"> </w:t>
            </w:r>
            <w:r w:rsidRPr="00E364AF" w:rsidR="006952A1">
              <w:rPr>
                <w:rFonts w:ascii="Calibri" w:hAnsi="Calibri"/>
              </w:rPr>
              <w:t xml:space="preserve"> </w:t>
            </w:r>
          </w:p>
        </w:tc>
      </w:tr>
      <w:tr w14:paraId="78010A3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B677A8" w:rsidP="00C709C0" w14:paraId="1D0C4688" w14:textId="77777777">
            <w:pPr>
              <w:keepNext/>
              <w:keepLines/>
              <w:tabs>
                <w:tab w:val="left" w:pos="1843"/>
              </w:tabs>
              <w:spacing w:after="120"/>
              <w:jc w:val="both"/>
              <w:rPr>
                <w:rFonts w:asciiTheme="minorHAnsi" w:hAnsiTheme="minorHAns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B677A8">
              <w:rPr>
                <w:rFonts w:asciiTheme="minorHAnsi" w:hAnsiTheme="minorHAns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B677A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F5451D" w:rsidRPr="00B677A8" w:rsidP="00B677A8" w14:paraId="7AFA8ECB" w14:textId="2C343626">
            <w:pPr>
              <w:pStyle w:val="Bntext"/>
              <w:spacing w:before="0" w:line="240" w:lineRule="auto"/>
              <w:ind w:firstLine="0"/>
              <w:rPr>
                <w:rFonts w:asciiTheme="minorHAnsi" w:hAnsiTheme="minorHAnsi" w:cstheme="minorHAnsi"/>
                <w:bCs/>
                <w:sz w:val="24"/>
                <w:lang w:val="cs-CZ"/>
              </w:rPr>
            </w:pPr>
            <w:r w:rsidRPr="00B677A8">
              <w:rPr>
                <w:rFonts w:asciiTheme="minorHAnsi" w:hAnsiTheme="minorHAnsi" w:cstheme="minorHAnsi"/>
                <w:bCs/>
                <w:sz w:val="24"/>
                <w:lang w:val="cs-CZ"/>
              </w:rPr>
              <w:t>Mezi prioritní oblasti, které mají v současné době nejvyšší potenciál pro zlepšení zdraví obyvatel ČR a zároveň jsou klíčové pro vyrovnání se s aktuálními trendy socioekonomického</w:t>
            </w:r>
            <w:r w:rsidRPr="00B677A8" w:rsidR="003E0948">
              <w:rPr>
                <w:rFonts w:asciiTheme="minorHAnsi" w:hAnsiTheme="minorHAnsi" w:cstheme="minorHAnsi"/>
                <w:bCs/>
                <w:sz w:val="24"/>
                <w:lang w:val="cs-CZ"/>
              </w:rPr>
              <w:t xml:space="preserve"> </w:t>
            </w:r>
            <w:r w:rsidRPr="00B677A8" w:rsidR="00377DBC">
              <w:rPr>
                <w:rFonts w:asciiTheme="minorHAnsi" w:hAnsiTheme="minorHAnsi" w:cstheme="minorHAnsi"/>
                <w:bCs/>
                <w:sz w:val="24"/>
                <w:lang w:val="cs-CZ"/>
              </w:rPr>
              <w:t>rozvoje,</w:t>
            </w:r>
            <w:r w:rsidRPr="00B677A8" w:rsidR="000953CA">
              <w:rPr>
                <w:rFonts w:asciiTheme="minorHAnsi" w:hAnsiTheme="minorHAnsi" w:cstheme="minorHAnsi"/>
                <w:bCs/>
                <w:sz w:val="24"/>
                <w:lang w:val="cs-CZ"/>
              </w:rPr>
              <w:t xml:space="preserve"> </w:t>
            </w:r>
            <w:r w:rsidRPr="00B677A8">
              <w:rPr>
                <w:rFonts w:asciiTheme="minorHAnsi" w:hAnsiTheme="minorHAnsi" w:cstheme="minorHAnsi"/>
                <w:bCs/>
                <w:sz w:val="24"/>
                <w:lang w:val="cs-CZ"/>
              </w:rPr>
              <w:t>tj. demografickými změnami a rychlým technickým a technologickým pokrokem, patří digitalizace zdravotnictví. Digitalizace zdravotnictví bude více sloužit k podpoře reformy zdravotních služeb a přístupu k</w:t>
            </w:r>
            <w:r w:rsidR="00B677A8">
              <w:rPr>
                <w:rFonts w:asciiTheme="minorHAnsi" w:hAnsiTheme="minorHAnsi" w:cstheme="minorHAnsi"/>
                <w:bCs/>
                <w:sz w:val="24"/>
                <w:lang w:val="cs-CZ"/>
              </w:rPr>
              <w:t> </w:t>
            </w:r>
            <w:r w:rsidRPr="00B677A8">
              <w:rPr>
                <w:rFonts w:asciiTheme="minorHAnsi" w:hAnsiTheme="minorHAnsi" w:cstheme="minorHAnsi"/>
                <w:bCs/>
                <w:sz w:val="24"/>
                <w:lang w:val="cs-CZ"/>
              </w:rPr>
              <w:t>nim, digitální technologie posílí možnosti jednotlivců pečovat o</w:t>
            </w:r>
            <w:r w:rsidR="00B677A8">
              <w:rPr>
                <w:rFonts w:asciiTheme="minorHAnsi" w:hAnsiTheme="minorHAnsi" w:cstheme="minorHAnsi"/>
                <w:bCs/>
                <w:sz w:val="24"/>
                <w:lang w:val="cs-CZ"/>
              </w:rPr>
              <w:t> </w:t>
            </w:r>
            <w:r w:rsidRPr="00B677A8">
              <w:rPr>
                <w:rFonts w:asciiTheme="minorHAnsi" w:hAnsiTheme="minorHAnsi" w:cstheme="minorHAnsi"/>
                <w:bCs/>
                <w:sz w:val="24"/>
                <w:lang w:val="cs-CZ"/>
              </w:rPr>
              <w:t xml:space="preserve">vlastní zdraví a zároveň podpoří celkovou efektivnost zdravotního systému. </w:t>
            </w:r>
          </w:p>
          <w:p w:rsidR="00FC4344" w:rsidRPr="00B677A8" w:rsidP="00B677A8" w14:paraId="7944F535" w14:textId="42E804E6">
            <w:pPr>
              <w:pStyle w:val="Bntext"/>
              <w:spacing w:before="0" w:line="240" w:lineRule="auto"/>
              <w:ind w:firstLine="0"/>
              <w:rPr>
                <w:rFonts w:asciiTheme="minorHAnsi" w:hAnsiTheme="minorHAnsi" w:cstheme="minorHAnsi"/>
                <w:bCs/>
                <w:sz w:val="24"/>
                <w:lang w:val="cs-CZ"/>
              </w:rPr>
            </w:pPr>
            <w:r w:rsidRPr="00B677A8">
              <w:rPr>
                <w:rFonts w:asciiTheme="minorHAnsi" w:hAnsiTheme="minorHAnsi" w:cstheme="minorHAnsi"/>
                <w:bCs/>
                <w:sz w:val="24"/>
                <w:lang w:val="cs-CZ"/>
              </w:rPr>
              <w:t xml:space="preserve">Digitální technologie a inovace usnadní dosažení strategických záměrů v oblasti veřejného zdraví. Inovativní digitální řešení napomůžou podpoře zdraví a kvality života občanů a umožní účinnější způsoby organizace a poskytování zdravotních a sociálních služeb. </w:t>
            </w:r>
          </w:p>
          <w:p w:rsidR="00AA23BE" w:rsidRPr="00B677A8" w:rsidP="00B677A8" w14:paraId="657FEF02" w14:textId="524745DB">
            <w:pPr>
              <w:pStyle w:val="Bntext"/>
              <w:spacing w:before="0" w:line="240" w:lineRule="auto"/>
              <w:ind w:firstLine="0"/>
              <w:rPr>
                <w:rFonts w:asciiTheme="minorHAnsi" w:hAnsiTheme="minorHAnsi" w:cstheme="minorHAnsi"/>
                <w:bCs/>
                <w:sz w:val="24"/>
                <w:lang w:val="cs-CZ"/>
              </w:rPr>
            </w:pPr>
            <w:r w:rsidRPr="00B677A8">
              <w:rPr>
                <w:rFonts w:asciiTheme="minorHAnsi" w:hAnsiTheme="minorHAnsi" w:cstheme="minorHAnsi"/>
                <w:bCs/>
                <w:sz w:val="24"/>
                <w:lang w:val="cs-CZ"/>
              </w:rPr>
              <w:t>Samotný implementační plán blíže popisuje daný specifický cíl a</w:t>
            </w:r>
            <w:r w:rsidR="00B677A8">
              <w:rPr>
                <w:rFonts w:asciiTheme="minorHAnsi" w:hAnsiTheme="minorHAnsi" w:cstheme="minorHAnsi"/>
                <w:bCs/>
                <w:sz w:val="24"/>
                <w:lang w:val="cs-CZ"/>
              </w:rPr>
              <w:t> </w:t>
            </w:r>
            <w:r w:rsidRPr="00B677A8">
              <w:rPr>
                <w:rFonts w:asciiTheme="minorHAnsi" w:hAnsiTheme="minorHAnsi" w:cstheme="minorHAnsi"/>
                <w:bCs/>
                <w:sz w:val="24"/>
                <w:lang w:val="cs-CZ"/>
              </w:rPr>
              <w:t>poskytuje informace o hierarchické struktuře prací, harmonogramu a plánovaném rozpočtu, základním souboru sledovaných indikátorů, řídicí a organizační struktuře implementace, systému řízení rizik, systému monitorování a</w:t>
            </w:r>
            <w:r w:rsidRPr="00B677A8" w:rsidR="00F5451D">
              <w:rPr>
                <w:rFonts w:asciiTheme="minorHAnsi" w:hAnsiTheme="minorHAnsi" w:cstheme="minorHAnsi"/>
                <w:bCs/>
                <w:sz w:val="24"/>
                <w:lang w:val="cs-CZ"/>
              </w:rPr>
              <w:t> </w:t>
            </w:r>
            <w:r w:rsidRPr="00B677A8">
              <w:rPr>
                <w:rFonts w:asciiTheme="minorHAnsi" w:hAnsiTheme="minorHAnsi" w:cstheme="minorHAnsi"/>
                <w:bCs/>
                <w:sz w:val="24"/>
                <w:lang w:val="cs-CZ"/>
              </w:rPr>
              <w:t>evaluací a také o komunikačním plánu.</w:t>
            </w:r>
          </w:p>
        </w:tc>
      </w:tr>
      <w:bookmarkEnd w:id="0"/>
    </w:tbl>
    <w:p w:rsidR="002223DF" w:rsidRPr="00B677A8" w:rsidP="00C709C0" w14:paraId="5AF124A3" w14:textId="77777777">
      <w:pPr>
        <w:jc w:val="both"/>
        <w:rPr>
          <w:rFonts w:asciiTheme="minorHAnsi" w:hAnsiTheme="minorHAnsi" w:cstheme="minorHAnsi"/>
        </w:rPr>
      </w:pPr>
    </w:p>
    <w:p w:rsidR="002223DF" w:rsidRPr="00B677A8" w:rsidP="00C709C0" w14:paraId="70176072" w14:textId="77777777">
      <w:pPr>
        <w:jc w:val="both"/>
        <w:rPr>
          <w:rFonts w:asciiTheme="minorHAnsi" w:hAnsiTheme="minorHAnsi" w:cstheme="minorHAnsi"/>
        </w:rPr>
      </w:pPr>
    </w:p>
    <w:p w:rsidR="002223DF" w:rsidRPr="00B677A8" w:rsidP="00C709C0" w14:paraId="4BDBF072" w14:textId="77777777">
      <w:pPr>
        <w:jc w:val="both"/>
        <w:rPr>
          <w:rFonts w:asciiTheme="minorHAnsi" w:hAnsiTheme="minorHAnsi" w:cstheme="minorHAnsi"/>
        </w:rPr>
      </w:pPr>
    </w:p>
    <w:p w:rsidR="001C403B" w:rsidRPr="00C24606" w:rsidP="00C709C0" w14:paraId="4FA42925" w14:textId="77777777">
      <w:pPr>
        <w:jc w:val="both"/>
        <w:rPr>
          <w:rFonts w:asciiTheme="minorHAnsi" w:hAnsiTheme="minorHAnsi" w:cstheme="minorHAnsi"/>
        </w:rPr>
      </w:pPr>
      <w:r w:rsidRPr="00C24606">
        <w:rPr>
          <w:rFonts w:asciiTheme="minorHAnsi" w:hAnsiTheme="minorHAnsi" w:cstheme="minorHAnsi"/>
        </w:rPr>
        <w:br w:type="page"/>
      </w:r>
    </w:p>
    <w:p w:rsidR="001D3B85" w:rsidRPr="00C24606" w:rsidP="00C709C0" w14:paraId="67CB4136" w14:textId="77777777">
      <w:pPr>
        <w:jc w:val="both"/>
        <w:rPr>
          <w:rFonts w:asciiTheme="minorHAnsi" w:hAnsiTheme="minorHAnsi" w:cstheme="minorHAnsi"/>
        </w:rPr>
      </w:pPr>
    </w:p>
    <w:sdt>
      <w:sdtPr>
        <w:rPr>
          <w:rFonts w:ascii="Times New Roman" w:eastAsia="Times New Roman" w:hAnsi="Times New Roman" w:cstheme="minorHAnsi"/>
          <w:color w:val="auto"/>
          <w:sz w:val="24"/>
          <w:szCs w:val="24"/>
        </w:rPr>
        <w:id w:val="475343376"/>
        <w:docPartObj>
          <w:docPartGallery w:val="Table of Contents"/>
          <w:docPartUnique/>
        </w:docPartObj>
      </w:sdtPr>
      <w:sdtEndPr>
        <w:rPr>
          <w:b/>
          <w:bCs/>
        </w:rPr>
      </w:sdtEndPr>
      <w:sdtContent>
        <w:p w:rsidR="00C11F34" w:rsidRPr="00C24606" w:rsidP="00C709C0" w14:paraId="7B91AD79" w14:textId="77777777">
          <w:pPr>
            <w:pStyle w:val="TOCHeading"/>
            <w:jc w:val="both"/>
            <w:rPr>
              <w:rFonts w:cstheme="minorHAnsi"/>
            </w:rPr>
          </w:pPr>
          <w:r w:rsidRPr="00C24606">
            <w:rPr>
              <w:rFonts w:cstheme="minorHAnsi"/>
            </w:rPr>
            <w:t>Obsah</w:t>
          </w:r>
        </w:p>
        <w:p w14:paraId="69DACAAF" w14:textId="77777777">
          <w:pPr>
            <w:pStyle w:val="TOC1"/>
            <w:tabs>
              <w:tab w:val="left" w:pos="440"/>
              <w:tab w:val="right" w:leader="dot" w:pos="10456"/>
            </w:tabs>
            <w:rPr>
              <w:rFonts w:asciiTheme="minorHAnsi" w:hAnsiTheme="minorHAnsi"/>
              <w:noProof/>
              <w:sz w:val="22"/>
            </w:rPr>
          </w:pPr>
          <w:r w:rsidRPr="00C24606">
            <w:rPr>
              <w:rFonts w:asciiTheme="minorHAnsi" w:hAnsiTheme="minorHAnsi" w:cstheme="minorHAnsi"/>
              <w:b/>
              <w:bCs/>
            </w:rPr>
            <w:fldChar w:fldCharType="begin"/>
          </w:r>
          <w:r w:rsidRPr="00C24606">
            <w:rPr>
              <w:rFonts w:asciiTheme="minorHAnsi" w:hAnsiTheme="minorHAnsi" w:cstheme="minorHAnsi"/>
              <w:b/>
              <w:bCs/>
            </w:rPr>
            <w:instrText xml:space="preserve"> TOC \o "1-3" \h \z \u </w:instrText>
          </w:r>
          <w:r w:rsidRPr="00C24606">
            <w:rPr>
              <w:rFonts w:asciiTheme="minorHAnsi" w:hAnsiTheme="minorHAnsi" w:cstheme="minorHAnsi"/>
              <w:b/>
              <w:bCs/>
            </w:rPr>
            <w:fldChar w:fldCharType="separate"/>
          </w:r>
          <w:hyperlink w:anchor="_Toc256000000" w:history="1">
            <w:r>
              <w:rPr>
                <w:rStyle w:val="Hyperlink"/>
                <w:rFonts w:cstheme="minorHAnsi"/>
              </w:rPr>
              <w:t>1.</w:t>
            </w:r>
            <w:r>
              <w:rPr>
                <w:rFonts w:asciiTheme="minorHAnsi" w:hAnsiTheme="minorHAnsi" w:cstheme="minorHAnsi"/>
                <w:noProof/>
                <w:sz w:val="22"/>
              </w:rPr>
              <w:tab/>
            </w:r>
            <w:r w:rsidRPr="00C24606">
              <w:rPr>
                <w:rStyle w:val="Hyperlink"/>
                <w:rFonts w:cstheme="minorHAnsi"/>
              </w:rPr>
              <w:t>Úvod</w:t>
            </w:r>
            <w:r>
              <w:tab/>
            </w:r>
            <w:r>
              <w:fldChar w:fldCharType="begin"/>
            </w:r>
            <w:r>
              <w:instrText xml:space="preserve"> PAGEREF _Toc256000000 \h </w:instrText>
            </w:r>
            <w:r>
              <w:fldChar w:fldCharType="separate"/>
            </w:r>
            <w:r>
              <w:t>6</w:t>
            </w:r>
            <w:r>
              <w:fldChar w:fldCharType="end"/>
            </w:r>
          </w:hyperlink>
        </w:p>
        <w:p>
          <w:pPr>
            <w:pStyle w:val="TOC1"/>
            <w:tabs>
              <w:tab w:val="left" w:pos="440"/>
              <w:tab w:val="right" w:leader="dot" w:pos="10456"/>
            </w:tabs>
            <w:rPr>
              <w:rFonts w:asciiTheme="minorHAnsi" w:hAnsiTheme="minorHAnsi"/>
              <w:noProof/>
              <w:sz w:val="22"/>
            </w:rPr>
          </w:pPr>
          <w:hyperlink w:anchor="_Toc256000001" w:history="1">
            <w:r>
              <w:rPr>
                <w:rStyle w:val="Hyperlink"/>
                <w:rFonts w:cstheme="minorHAnsi"/>
              </w:rPr>
              <w:t>2.</w:t>
            </w:r>
            <w:r>
              <w:rPr>
                <w:rFonts w:asciiTheme="minorHAnsi" w:hAnsiTheme="minorHAnsi" w:cstheme="minorHAnsi"/>
                <w:noProof/>
                <w:sz w:val="22"/>
              </w:rPr>
              <w:tab/>
            </w:r>
            <w:r w:rsidRPr="00C24606">
              <w:rPr>
                <w:rStyle w:val="Hyperlink"/>
                <w:rFonts w:cstheme="minorHAnsi"/>
              </w:rPr>
              <w:t>Základní informace o specifickém cíli</w:t>
            </w:r>
            <w:r>
              <w:tab/>
            </w:r>
            <w:r>
              <w:fldChar w:fldCharType="begin"/>
            </w:r>
            <w:r>
              <w:instrText xml:space="preserve"> PAGEREF _Toc256000001 \h </w:instrText>
            </w:r>
            <w:r>
              <w:fldChar w:fldCharType="separate"/>
            </w:r>
            <w:r>
              <w:t>11</w:t>
            </w:r>
            <w:r>
              <w:fldChar w:fldCharType="end"/>
            </w:r>
          </w:hyperlink>
        </w:p>
        <w:p>
          <w:pPr>
            <w:pStyle w:val="TOC1"/>
            <w:tabs>
              <w:tab w:val="right" w:leader="dot" w:pos="10456"/>
            </w:tabs>
            <w:rPr>
              <w:rFonts w:asciiTheme="minorHAnsi" w:hAnsiTheme="minorHAnsi"/>
              <w:noProof/>
              <w:sz w:val="22"/>
            </w:rPr>
          </w:pPr>
          <w:hyperlink w:anchor="_Toc256000002" w:history="1">
            <w:r w:rsidRPr="00C24606">
              <w:rPr>
                <w:rStyle w:val="Hyperlink"/>
                <w:rFonts w:cstheme="minorHAnsi"/>
              </w:rPr>
              <w:t>Střednědo</w:t>
            </w:r>
            <w:r w:rsidRPr="00C24606" w:rsidR="00C940F5">
              <w:rPr>
                <w:rStyle w:val="Hyperlink"/>
                <w:rFonts w:cstheme="minorHAnsi"/>
              </w:rPr>
              <w:t xml:space="preserve">bý strategický dokument formulující strategické cíle elektronického zdravotnictví je </w:t>
            </w:r>
            <w:r w:rsidRPr="00C24606" w:rsidR="00276AFF">
              <w:rPr>
                <w:rStyle w:val="Hyperlink"/>
                <w:rFonts w:cstheme="minorHAnsi"/>
              </w:rPr>
              <w:t>Národní strategie elektronického zdravotnictví na období 2016-2020</w:t>
            </w:r>
            <w:r w:rsidR="00621CA9">
              <w:rPr>
                <w:rStyle w:val="Hyperlink"/>
                <w:rFonts w:cstheme="minorHAnsi"/>
              </w:rPr>
              <w:t>(6)</w:t>
            </w:r>
            <w:r w:rsidR="009B5806">
              <w:rPr>
                <w:rStyle w:val="Hyperlink"/>
                <w:rFonts w:cstheme="minorHAnsi"/>
              </w:rPr>
              <w:t xml:space="preserve"> a její probíhající aktualizace pro období do roku 2035</w:t>
            </w:r>
            <w:r w:rsidR="00576C44">
              <w:rPr>
                <w:rStyle w:val="Hyperlink"/>
                <w:rFonts w:cstheme="minorHAnsi"/>
              </w:rPr>
              <w:t>, která</w:t>
            </w:r>
            <w:r w:rsidRPr="000B7CB1" w:rsidR="00364FB7">
              <w:rPr>
                <w:rStyle w:val="Hyperlink"/>
                <w:rFonts w:cstheme="minorHAnsi"/>
              </w:rPr>
              <w:t xml:space="preserve"> na základě znalosti českého zdravotnictví, společenských podmínek a trendů vývoje na úrovni EU a ČR formuluje na období minimálně pěti let strategické cíle a program pro jejich podporu</w:t>
            </w:r>
            <w:r w:rsidR="00364FB7">
              <w:rPr>
                <w:rStyle w:val="Hyperlink"/>
                <w:rFonts w:cstheme="minorHAnsi"/>
              </w:rPr>
              <w:t xml:space="preserve">. </w:t>
            </w:r>
            <w:r w:rsidRPr="00C24606" w:rsidR="00C940F5">
              <w:rPr>
                <w:rStyle w:val="Hyperlink"/>
                <w:rFonts w:cstheme="minorHAnsi"/>
              </w:rPr>
              <w:t xml:space="preserve">Prováděcím dokumentem Strategie je Akční plán k Národní strategii </w:t>
            </w:r>
            <w:r w:rsidR="00364FB7">
              <w:rPr>
                <w:rStyle w:val="Hyperlink"/>
                <w:rFonts w:cstheme="minorHAnsi"/>
              </w:rPr>
              <w:t xml:space="preserve">elektronického zdravotnictví z dubna 2017, </w:t>
            </w:r>
            <w:r w:rsidRPr="00C24606" w:rsidR="00C940F5">
              <w:rPr>
                <w:rStyle w:val="Hyperlink"/>
                <w:rFonts w:cstheme="minorHAnsi"/>
              </w:rPr>
              <w:t>v </w:t>
            </w:r>
            <w:r w:rsidRPr="00C24606" w:rsidR="00364FB7">
              <w:rPr>
                <w:rStyle w:val="Hyperlink"/>
                <w:rFonts w:cstheme="minorHAnsi"/>
              </w:rPr>
              <w:t>rámci,</w:t>
            </w:r>
            <w:r w:rsidRPr="00C24606" w:rsidR="00C940F5">
              <w:rPr>
                <w:rStyle w:val="Hyperlink"/>
                <w:rFonts w:cstheme="minorHAnsi"/>
              </w:rPr>
              <w:t xml:space="preserve"> kterého </w:t>
            </w:r>
            <w:r w:rsidRPr="00C24606" w:rsidR="00F53339">
              <w:rPr>
                <w:rStyle w:val="Hyperlink"/>
                <w:rFonts w:cstheme="minorHAnsi"/>
              </w:rPr>
              <w:t>jsou</w:t>
            </w:r>
            <w:r w:rsidRPr="00C24606" w:rsidR="00276AFF">
              <w:rPr>
                <w:rStyle w:val="Hyperlink"/>
                <w:rFonts w:cstheme="minorHAnsi"/>
              </w:rPr>
              <w:t xml:space="preserve"> </w:t>
            </w:r>
            <w:r w:rsidRPr="00C24606" w:rsidR="00A02393">
              <w:rPr>
                <w:rStyle w:val="Hyperlink"/>
                <w:rFonts w:cstheme="minorHAnsi"/>
              </w:rPr>
              <w:t xml:space="preserve">naplňována a </w:t>
            </w:r>
            <w:r w:rsidRPr="00C24606" w:rsidR="00276AFF">
              <w:rPr>
                <w:rStyle w:val="Hyperlink"/>
                <w:rFonts w:cstheme="minorHAnsi"/>
              </w:rPr>
              <w:t xml:space="preserve">realizována </w:t>
            </w:r>
            <w:r w:rsidRPr="00C24606" w:rsidR="00A02393">
              <w:rPr>
                <w:rStyle w:val="Hyperlink"/>
                <w:rFonts w:cstheme="minorHAnsi"/>
              </w:rPr>
              <w:t xml:space="preserve">jednotlivá </w:t>
            </w:r>
            <w:r w:rsidRPr="00C24606" w:rsidR="00276AFF">
              <w:rPr>
                <w:rStyle w:val="Hyperlink"/>
                <w:rFonts w:cstheme="minorHAnsi"/>
              </w:rPr>
              <w:t>opatření</w:t>
            </w:r>
            <w:r w:rsidRPr="00C24606" w:rsidR="00A02393">
              <w:rPr>
                <w:rStyle w:val="Hyperlink"/>
                <w:rFonts w:cstheme="minorHAnsi"/>
              </w:rPr>
              <w:t xml:space="preserve"> z přijatého Akčního plánu</w:t>
            </w:r>
            <w:r w:rsidR="00364FB7">
              <w:rPr>
                <w:rStyle w:val="Hyperlink"/>
                <w:rFonts w:cstheme="minorHAnsi"/>
              </w:rPr>
              <w:t xml:space="preserve">, konkretizována </w:t>
            </w:r>
            <w:r w:rsidRPr="000B7CB1" w:rsidR="00364FB7">
              <w:rPr>
                <w:rStyle w:val="Hyperlink"/>
                <w:rFonts w:cstheme="minorHAnsi"/>
              </w:rPr>
              <w:t xml:space="preserve">vybraná opatření, úkoly a aktivity způsob jejich realizace </w:t>
            </w:r>
            <w:r w:rsidR="00364FB7">
              <w:rPr>
                <w:rStyle w:val="Hyperlink"/>
                <w:rFonts w:cstheme="minorHAnsi"/>
              </w:rPr>
              <w:t xml:space="preserve">včetně </w:t>
            </w:r>
            <w:r w:rsidRPr="000B7CB1" w:rsidR="00364FB7">
              <w:rPr>
                <w:rStyle w:val="Hyperlink"/>
                <w:rFonts w:cstheme="minorHAnsi"/>
              </w:rPr>
              <w:t>hodnocení.</w:t>
            </w:r>
            <w:r w:rsidR="00364FB7">
              <w:rPr>
                <w:rStyle w:val="Hyperlink"/>
                <w:rFonts w:cstheme="minorHAnsi"/>
              </w:rPr>
              <w:t xml:space="preserve"> Dalším strategickým dokumentem je vládní </w:t>
            </w:r>
            <w:r w:rsidRPr="00191761" w:rsidR="00364FB7">
              <w:rPr>
                <w:rStyle w:val="Hyperlink"/>
                <w:rFonts w:cstheme="minorHAnsi"/>
                <w:noProof/>
              </w:rPr>
              <w:t>Program Digitální Česko</w:t>
            </w:r>
            <w:r w:rsidR="00FB373C">
              <w:rPr>
                <w:rStyle w:val="Hyperlink"/>
                <w:rFonts w:cstheme="minorHAnsi"/>
                <w:noProof/>
              </w:rPr>
              <w:t>, který je pravidelně aktualizován</w:t>
            </w:r>
            <w:r w:rsidRPr="006133A0" w:rsidR="00364FB7">
              <w:rPr>
                <w:rStyle w:val="Hyperlink"/>
              </w:rPr>
              <w:t xml:space="preserve"> </w:t>
            </w:r>
            <w:r w:rsidRPr="006133A0" w:rsidR="00364FB7">
              <w:rPr>
                <w:rStyle w:val="Hyperlink"/>
                <w:rFonts w:cstheme="minorHAnsi"/>
                <w:noProof/>
              </w:rPr>
              <w:t>Program Digitální Česko má zajistit předpoklady dlouhodobé prosperity ČR v prostředí probíhající digitální revoluce. Z</w:t>
            </w:r>
            <w:r w:rsidR="00576C44">
              <w:rPr>
                <w:rStyle w:val="Hyperlink"/>
                <w:rFonts w:cstheme="minorHAnsi"/>
                <w:noProof/>
              </w:rPr>
              <w:t> </w:t>
            </w:r>
            <w:r w:rsidRPr="006133A0" w:rsidR="00364FB7">
              <w:rPr>
                <w:rStyle w:val="Hyperlink"/>
                <w:rFonts w:cstheme="minorHAnsi"/>
                <w:noProof/>
              </w:rPr>
              <w:t>tohoto důvodu byly zpracovány implementační plány (IP), jimiž se budou naplňovat cíle programu Digitální Česko</w:t>
            </w:r>
            <w:r w:rsidR="00364FB7">
              <w:rPr>
                <w:rStyle w:val="Hyperlink"/>
                <w:rFonts w:cstheme="minorHAnsi"/>
                <w:noProof/>
              </w:rPr>
              <w:t xml:space="preserve">, který </w:t>
            </w:r>
            <w:r w:rsidRPr="00191761" w:rsidR="00364FB7">
              <w:rPr>
                <w:rStyle w:val="Hyperlink"/>
                <w:rFonts w:cstheme="minorHAnsi"/>
                <w:noProof/>
              </w:rPr>
              <w:t>je tvořen 3 koncepcemi - Česko v digitální Evropě (ČDE), Informační koncepce ČR (IK ČR) a</w:t>
            </w:r>
            <w:r w:rsidR="00576C44">
              <w:rPr>
                <w:rStyle w:val="Hyperlink"/>
                <w:rFonts w:cstheme="minorHAnsi"/>
                <w:noProof/>
              </w:rPr>
              <w:t> </w:t>
            </w:r>
            <w:r w:rsidRPr="00191761" w:rsidR="00364FB7">
              <w:rPr>
                <w:rStyle w:val="Hyperlink"/>
                <w:rFonts w:cstheme="minorHAnsi"/>
                <w:noProof/>
              </w:rPr>
              <w:t>koncepce Digitální ekonomika a společnost (DES</w:t>
            </w:r>
            <w:r w:rsidR="00364FB7">
              <w:rPr>
                <w:rStyle w:val="Hyperlink"/>
                <w:rFonts w:cstheme="minorHAnsi"/>
                <w:noProof/>
              </w:rPr>
              <w:t>).</w:t>
            </w:r>
            <w:r w:rsidRPr="00191761" w:rsidR="00364FB7">
              <w:rPr>
                <w:rStyle w:val="Hyperlink"/>
                <w:rFonts w:cstheme="minorHAnsi"/>
                <w:noProof/>
              </w:rPr>
              <w:t xml:space="preserve"> </w:t>
            </w:r>
            <w:r w:rsidRPr="00442B26" w:rsidR="00364FB7">
              <w:rPr>
                <w:rStyle w:val="Hyperlink"/>
                <w:rFonts w:cstheme="minorHAnsi"/>
                <w:noProof/>
              </w:rPr>
              <w:t>Ministerstvo zdravotnictví je aktivně zapojeno do programu Digitální Česko</w:t>
            </w:r>
            <w:r w:rsidR="00364FB7">
              <w:rPr>
                <w:rStyle w:val="Hyperlink"/>
                <w:rFonts w:cstheme="minorHAnsi"/>
                <w:noProof/>
              </w:rPr>
              <w:t xml:space="preserve"> prostřednictvím záměrů do implementačních plánů</w:t>
            </w:r>
            <w:r w:rsidRPr="00442B26" w:rsidR="00364FB7">
              <w:rPr>
                <w:rStyle w:val="Hyperlink"/>
                <w:rFonts w:cstheme="minorHAnsi"/>
                <w:noProof/>
              </w:rPr>
              <w:t>. Implementační plány k</w:t>
            </w:r>
            <w:r w:rsidR="00576C44">
              <w:rPr>
                <w:rStyle w:val="Hyperlink"/>
                <w:rFonts w:cstheme="minorHAnsi"/>
                <w:noProof/>
              </w:rPr>
              <w:t> </w:t>
            </w:r>
            <w:r w:rsidRPr="00442B26" w:rsidR="00364FB7">
              <w:rPr>
                <w:rStyle w:val="Hyperlink"/>
                <w:rFonts w:cstheme="minorHAnsi"/>
                <w:noProof/>
              </w:rPr>
              <w:t xml:space="preserve">programu Digitální Česko mají za cíl </w:t>
            </w:r>
            <w:r w:rsidR="00576C44">
              <w:rPr>
                <w:rStyle w:val="Hyperlink"/>
                <w:rFonts w:cstheme="minorHAnsi"/>
                <w:noProof/>
              </w:rPr>
              <w:t>definovat požadavky na</w:t>
            </w:r>
            <w:r w:rsidRPr="00442B26" w:rsidR="00364FB7">
              <w:rPr>
                <w:rStyle w:val="Hyperlink"/>
                <w:rFonts w:cstheme="minorHAnsi"/>
                <w:noProof/>
              </w:rPr>
              <w:t xml:space="preserve"> prostředky z</w:t>
            </w:r>
            <w:r w:rsidR="00576C44">
              <w:rPr>
                <w:rStyle w:val="Hyperlink"/>
                <w:rFonts w:cstheme="minorHAnsi"/>
                <w:noProof/>
              </w:rPr>
              <w:t> </w:t>
            </w:r>
            <w:r w:rsidRPr="00442B26" w:rsidR="00364FB7">
              <w:rPr>
                <w:rStyle w:val="Hyperlink"/>
                <w:rFonts w:cstheme="minorHAnsi"/>
                <w:noProof/>
              </w:rPr>
              <w:t>EU</w:t>
            </w:r>
            <w:r w:rsidR="00576C44">
              <w:rPr>
                <w:rStyle w:val="Hyperlink"/>
                <w:rFonts w:cstheme="minorHAnsi"/>
                <w:noProof/>
              </w:rPr>
              <w:t xml:space="preserve"> a</w:t>
            </w:r>
            <w:r w:rsidRPr="00442B26" w:rsidR="00364FB7">
              <w:rPr>
                <w:rStyle w:val="Hyperlink"/>
                <w:rFonts w:cstheme="minorHAnsi"/>
                <w:noProof/>
              </w:rPr>
              <w:t xml:space="preserve"> prostředky ze státního rozpočtu; inventarizovat a jednoznačně reportovat aktivity z oblasti digitální ekonomiky ve státní správě; sjednotit strategie a akční plány týkající se digitalizace ČR pod hlavičkou Digitální Česko; nastavit nezvratný proces komplexní digitalizace ČR a snížit byrokracii ve státní správě.</w:t>
            </w:r>
            <w:r w:rsidR="00364FB7">
              <w:rPr>
                <w:rStyle w:val="Hyperlink"/>
                <w:rFonts w:cstheme="minorHAnsi"/>
                <w:noProof/>
              </w:rPr>
              <w:t xml:space="preserve"> </w:t>
            </w:r>
            <w:r w:rsidRPr="00C17933" w:rsidR="00364FB7">
              <w:rPr>
                <w:rStyle w:val="Hyperlink"/>
                <w:rFonts w:cstheme="minorHAnsi"/>
                <w:noProof/>
              </w:rPr>
              <w:t xml:space="preserve">Usnesení vlády ČR ze dne 15. června 2020 č. 644 k implementačním plánům programu Digitální Česko (aktualizace pro rok 2020) </w:t>
            </w:r>
            <w:r w:rsidR="00364FB7">
              <w:rPr>
                <w:rStyle w:val="Hyperlink"/>
                <w:rFonts w:cstheme="minorHAnsi"/>
                <w:noProof/>
              </w:rPr>
              <w:t xml:space="preserve">uložilo členům vlády </w:t>
            </w:r>
            <w:r w:rsidRPr="00C17933" w:rsidR="00364FB7">
              <w:rPr>
                <w:rStyle w:val="Hyperlink"/>
                <w:rFonts w:cstheme="minorHAnsi"/>
                <w:noProof/>
              </w:rPr>
              <w:t>zajistit plnění implementačních plánů programu Digitální Česko</w:t>
            </w:r>
            <w:r w:rsidR="00364FB7">
              <w:rPr>
                <w:rStyle w:val="Hyperlink"/>
                <w:rFonts w:cstheme="minorHAnsi"/>
                <w:noProof/>
              </w:rPr>
              <w:t xml:space="preserve"> spolu s</w:t>
            </w:r>
            <w:r w:rsidR="00DF5F3D">
              <w:rPr>
                <w:rStyle w:val="Hyperlink"/>
              </w:rPr>
              <w:t> </w:t>
            </w:r>
            <w:r w:rsidRPr="00C17933" w:rsidR="00364FB7">
              <w:rPr>
                <w:rStyle w:val="Hyperlink"/>
                <w:rFonts w:cstheme="minorHAnsi"/>
                <w:noProof/>
              </w:rPr>
              <w:t>přednostní</w:t>
            </w:r>
            <w:r w:rsidR="00364FB7">
              <w:rPr>
                <w:rStyle w:val="Hyperlink"/>
                <w:rFonts w:cstheme="minorHAnsi"/>
                <w:noProof/>
              </w:rPr>
              <w:t>m</w:t>
            </w:r>
            <w:r w:rsidRPr="00C17933" w:rsidR="00364FB7">
              <w:rPr>
                <w:rStyle w:val="Hyperlink"/>
                <w:rFonts w:cstheme="minorHAnsi"/>
                <w:noProof/>
              </w:rPr>
              <w:t xml:space="preserve"> plnění</w:t>
            </w:r>
            <w:r w:rsidR="00364FB7">
              <w:rPr>
                <w:rStyle w:val="Hyperlink"/>
                <w:rFonts w:cstheme="minorHAnsi"/>
                <w:noProof/>
              </w:rPr>
              <w:t>m</w:t>
            </w:r>
            <w:r w:rsidRPr="00C17933" w:rsidR="00364FB7">
              <w:rPr>
                <w:rStyle w:val="Hyperlink"/>
                <w:rFonts w:cstheme="minorHAnsi"/>
                <w:noProof/>
              </w:rPr>
              <w:t xml:space="preserve"> prioritních záměrů v souladu s metodikou programu</w:t>
            </w:r>
            <w:r w:rsidR="00364FB7">
              <w:rPr>
                <w:rStyle w:val="Hyperlink"/>
                <w:rFonts w:cstheme="minorHAnsi"/>
                <w:noProof/>
              </w:rPr>
              <w:t>.</w:t>
            </w:r>
            <w:r w:rsidRPr="000B7CB1" w:rsidR="00364FB7">
              <w:rPr>
                <w:rStyle w:val="Hyperlink"/>
                <w:rFonts w:cstheme="minorHAnsi"/>
              </w:rPr>
              <w:t xml:space="preserve"> </w:t>
            </w:r>
            <w:r w:rsidR="00364FB7">
              <w:rPr>
                <w:rStyle w:val="Hyperlink"/>
                <w:rFonts w:cstheme="minorHAnsi"/>
              </w:rPr>
              <w:t xml:space="preserve"> </w:t>
            </w:r>
            <w:r w:rsidR="00691AB7">
              <w:rPr>
                <w:rStyle w:val="Hyperlink"/>
                <w:rFonts w:cstheme="minorHAnsi"/>
              </w:rPr>
              <w:t>S</w:t>
            </w:r>
            <w:r w:rsidR="00D458C7">
              <w:rPr>
                <w:rStyle w:val="Hyperlink"/>
                <w:rFonts w:cstheme="minorHAnsi"/>
              </w:rPr>
              <w:t>ouběžně s implementačním plánem</w:t>
            </w:r>
            <w:r w:rsidRPr="00C24606" w:rsidR="00276AFF">
              <w:rPr>
                <w:rStyle w:val="Hyperlink"/>
                <w:rFonts w:cstheme="minorHAnsi"/>
              </w:rPr>
              <w:t xml:space="preserve"> </w:t>
            </w:r>
            <w:r w:rsidR="00364FB7">
              <w:rPr>
                <w:rStyle w:val="Hyperlink"/>
                <w:rFonts w:cstheme="minorHAnsi"/>
              </w:rPr>
              <w:t>2.3 Digitalizace zdravotnictví</w:t>
            </w:r>
            <w:r w:rsidRPr="00C24606" w:rsidR="00364FB7">
              <w:rPr>
                <w:rStyle w:val="Hyperlink"/>
                <w:rFonts w:cstheme="minorHAnsi"/>
              </w:rPr>
              <w:t xml:space="preserve"> </w:t>
            </w:r>
            <w:r w:rsidR="009322E7">
              <w:rPr>
                <w:rStyle w:val="Hyperlink"/>
                <w:rFonts w:cstheme="minorHAnsi"/>
              </w:rPr>
              <w:t>byl</w:t>
            </w:r>
            <w:r w:rsidRPr="00C24606" w:rsidR="00276AFF">
              <w:rPr>
                <w:rStyle w:val="Hyperlink"/>
                <w:rFonts w:cstheme="minorHAnsi"/>
              </w:rPr>
              <w:t xml:space="preserve"> připrav</w:t>
            </w:r>
            <w:r w:rsidR="00B54FC7">
              <w:rPr>
                <w:rStyle w:val="Hyperlink"/>
                <w:rFonts w:cstheme="minorHAnsi"/>
              </w:rPr>
              <w:t>en</w:t>
            </w:r>
            <w:r w:rsidRPr="00C24606" w:rsidR="00276AFF">
              <w:rPr>
                <w:rStyle w:val="Hyperlink"/>
                <w:rFonts w:cstheme="minorHAnsi"/>
              </w:rPr>
              <w:t xml:space="preserve"> návrh paragrafového znění zákona o elektroni</w:t>
            </w:r>
            <w:r w:rsidR="00F15066">
              <w:rPr>
                <w:rStyle w:val="Hyperlink"/>
                <w:rFonts w:cstheme="minorHAnsi"/>
              </w:rPr>
              <w:t>zaci</w:t>
            </w:r>
            <w:r w:rsidRPr="00C24606" w:rsidR="00276AFF">
              <w:rPr>
                <w:rStyle w:val="Hyperlink"/>
                <w:rFonts w:cstheme="minorHAnsi"/>
              </w:rPr>
              <w:t xml:space="preserve"> zdravotnictví</w:t>
            </w:r>
            <w:r w:rsidR="00F23D3A">
              <w:rPr>
                <w:rStyle w:val="Hyperlink"/>
                <w:rFonts w:cstheme="minorHAnsi"/>
              </w:rPr>
              <w:t xml:space="preserve"> (</w:t>
            </w:r>
            <w:r w:rsidRPr="00F23D3A" w:rsidR="00F23D3A">
              <w:rPr>
                <w:rStyle w:val="Hyperlink"/>
                <w:rFonts w:cstheme="minorHAnsi"/>
              </w:rPr>
              <w:t>zákon č.</w:t>
            </w:r>
            <w:r w:rsidR="00576C44">
              <w:rPr>
                <w:rStyle w:val="Hyperlink"/>
                <w:rFonts w:cstheme="minorHAnsi"/>
              </w:rPr>
              <w:t> </w:t>
            </w:r>
            <w:r w:rsidRPr="00F23D3A" w:rsidR="00F23D3A">
              <w:rPr>
                <w:rStyle w:val="Hyperlink"/>
                <w:rFonts w:cstheme="minorHAnsi"/>
              </w:rPr>
              <w:t>325/2021 Sb, o elektronizaci zdravotnictví</w:t>
            </w:r>
            <w:r w:rsidR="007B2159">
              <w:rPr>
                <w:rStyle w:val="Hyperlink"/>
                <w:rFonts w:cstheme="minorHAnsi"/>
              </w:rPr>
              <w:t>)</w:t>
            </w:r>
            <w:r w:rsidR="00E81086">
              <w:rPr>
                <w:rStyle w:val="Hyperlink"/>
                <w:rFonts w:cstheme="minorHAnsi"/>
              </w:rPr>
              <w:t>, který</w:t>
            </w:r>
            <w:r w:rsidRPr="00C24606" w:rsidR="00276AFF">
              <w:rPr>
                <w:rStyle w:val="Hyperlink"/>
                <w:rFonts w:cstheme="minorHAnsi"/>
              </w:rPr>
              <w:t xml:space="preserve"> </w:t>
            </w:r>
            <w:r w:rsidRPr="00E81086" w:rsidR="00E81086">
              <w:rPr>
                <w:rStyle w:val="Hyperlink"/>
                <w:rFonts w:cstheme="minorHAnsi"/>
              </w:rPr>
              <w:t xml:space="preserve">představuje </w:t>
            </w:r>
            <w:r w:rsidR="00FC4F76">
              <w:rPr>
                <w:rStyle w:val="Hyperlink"/>
                <w:rFonts w:cstheme="minorHAnsi"/>
              </w:rPr>
              <w:t>základní</w:t>
            </w:r>
            <w:r w:rsidRPr="00E81086" w:rsidR="00E81086">
              <w:rPr>
                <w:rStyle w:val="Hyperlink"/>
                <w:rFonts w:cstheme="minorHAnsi"/>
              </w:rPr>
              <w:t xml:space="preserve"> právní úpravu elektronizace stávajících procesů, které probíhají v resortu zdravotnictví</w:t>
            </w:r>
            <w:r w:rsidR="009663C9">
              <w:rPr>
                <w:rStyle w:val="Hyperlink"/>
                <w:rFonts w:cstheme="minorHAnsi"/>
              </w:rPr>
              <w:t xml:space="preserve">. </w:t>
            </w:r>
            <w:r w:rsidRPr="00B22243" w:rsidR="00B22243">
              <w:rPr>
                <w:rStyle w:val="Hyperlink"/>
                <w:rFonts w:cstheme="minorHAnsi"/>
              </w:rPr>
              <w:t xml:space="preserve">V </w:t>
            </w:r>
            <w:r w:rsidR="0026426A">
              <w:rPr>
                <w:rStyle w:val="Hyperlink"/>
                <w:rFonts w:cstheme="minorHAnsi"/>
              </w:rPr>
              <w:t>předchozí</w:t>
            </w:r>
            <w:r w:rsidRPr="00B22243" w:rsidR="00B22243">
              <w:rPr>
                <w:rStyle w:val="Hyperlink"/>
                <w:rFonts w:cstheme="minorHAnsi"/>
              </w:rPr>
              <w:t xml:space="preserve"> právní úpravě exist</w:t>
            </w:r>
            <w:r w:rsidR="007B2159">
              <w:rPr>
                <w:rStyle w:val="Hyperlink"/>
                <w:rFonts w:cstheme="minorHAnsi"/>
              </w:rPr>
              <w:t>ovaly</w:t>
            </w:r>
            <w:r w:rsidRPr="00B22243" w:rsidR="00B22243">
              <w:rPr>
                <w:rStyle w:val="Hyperlink"/>
                <w:rFonts w:cstheme="minorHAnsi"/>
              </w:rPr>
              <w:t xml:space="preserve"> pouze některé prvky zavádějící elektronizaci ve zdravotnictví. </w:t>
            </w:r>
            <w:r w:rsidR="00965204">
              <w:rPr>
                <w:rStyle w:val="Hyperlink"/>
                <w:rFonts w:cstheme="minorHAnsi"/>
              </w:rPr>
              <w:t>Předchozí</w:t>
            </w:r>
            <w:r w:rsidRPr="00B22243" w:rsidR="007B2159">
              <w:rPr>
                <w:rStyle w:val="Hyperlink"/>
                <w:rFonts w:cstheme="minorHAnsi"/>
              </w:rPr>
              <w:t xml:space="preserve"> </w:t>
            </w:r>
            <w:r w:rsidRPr="00B22243" w:rsidR="00B22243">
              <w:rPr>
                <w:rStyle w:val="Hyperlink"/>
                <w:rFonts w:cstheme="minorHAnsi"/>
              </w:rPr>
              <w:t xml:space="preserve">právní úprava </w:t>
            </w:r>
            <w:r w:rsidR="007B2159">
              <w:rPr>
                <w:rStyle w:val="Hyperlink"/>
                <w:rFonts w:cstheme="minorHAnsi"/>
              </w:rPr>
              <w:t>byla</w:t>
            </w:r>
            <w:r w:rsidRPr="00B22243" w:rsidR="00B22243">
              <w:rPr>
                <w:rStyle w:val="Hyperlink"/>
                <w:rFonts w:cstheme="minorHAnsi"/>
              </w:rPr>
              <w:t xml:space="preserve"> roztříštěná. Tento stav </w:t>
            </w:r>
            <w:r w:rsidR="007B2159">
              <w:rPr>
                <w:rStyle w:val="Hyperlink"/>
                <w:rFonts w:cstheme="minorHAnsi"/>
              </w:rPr>
              <w:t>byl</w:t>
            </w:r>
            <w:r w:rsidRPr="00B22243" w:rsidR="00B22243">
              <w:rPr>
                <w:rStyle w:val="Hyperlink"/>
                <w:rFonts w:cstheme="minorHAnsi"/>
              </w:rPr>
              <w:t xml:space="preserve"> zcela nevyhovující, neboť roztříštěná podoba dílčích právních úprav znemožňuje efektivní řízení systémů elektronického zdravotnictví. </w:t>
            </w:r>
            <w:r w:rsidRPr="00DA1101" w:rsidR="00DA1101">
              <w:rPr>
                <w:rStyle w:val="Hyperlink"/>
                <w:rFonts w:cstheme="minorHAnsi"/>
              </w:rPr>
              <w:t xml:space="preserve">Základním principem, ze kterého </w:t>
            </w:r>
            <w:r w:rsidR="000370BF">
              <w:rPr>
                <w:rStyle w:val="Hyperlink"/>
                <w:rFonts w:cstheme="minorHAnsi"/>
              </w:rPr>
              <w:t>zákon o elektronizaci zdravotnictví</w:t>
            </w:r>
            <w:r w:rsidRPr="00DA1101" w:rsidR="00DA1101">
              <w:rPr>
                <w:rStyle w:val="Hyperlink"/>
                <w:rFonts w:cstheme="minorHAnsi"/>
              </w:rPr>
              <w:t xml:space="preserve"> vychází, je </w:t>
            </w:r>
            <w:r w:rsidRPr="00DA1101" w:rsidR="00364FB7">
              <w:rPr>
                <w:rStyle w:val="Hyperlink"/>
                <w:rFonts w:cstheme="minorHAnsi"/>
              </w:rPr>
              <w:t>respekt,</w:t>
            </w:r>
            <w:r w:rsidRPr="00DA1101" w:rsidR="00DA1101">
              <w:rPr>
                <w:rStyle w:val="Hyperlink"/>
                <w:rFonts w:cstheme="minorHAnsi"/>
              </w:rPr>
              <w:t xml:space="preserve"> k již existujícím procesům ve zdravotnictví a jejich uvedení do souladu s</w:t>
            </w:r>
            <w:r w:rsidR="00C36C19">
              <w:rPr>
                <w:rStyle w:val="Hyperlink"/>
                <w:rFonts w:cstheme="minorHAnsi"/>
              </w:rPr>
              <w:t>e</w:t>
            </w:r>
            <w:r w:rsidRPr="00DA1101" w:rsidR="00DA1101">
              <w:rPr>
                <w:rStyle w:val="Hyperlink"/>
                <w:rFonts w:cstheme="minorHAnsi"/>
              </w:rPr>
              <w:t xml:space="preserve"> zákonem o elektronizaci zdravotnictví. </w:t>
            </w:r>
            <w:r w:rsidR="00C36C19">
              <w:rPr>
                <w:rStyle w:val="Hyperlink"/>
                <w:rFonts w:cstheme="minorHAnsi"/>
              </w:rPr>
              <w:t>Přijatý</w:t>
            </w:r>
            <w:r w:rsidRPr="00DA1101" w:rsidR="00C36C19">
              <w:rPr>
                <w:rStyle w:val="Hyperlink"/>
                <w:rFonts w:cstheme="minorHAnsi"/>
              </w:rPr>
              <w:t xml:space="preserve"> </w:t>
            </w:r>
            <w:r w:rsidRPr="00DA1101" w:rsidR="00DA1101">
              <w:rPr>
                <w:rStyle w:val="Hyperlink"/>
                <w:rFonts w:cstheme="minorHAnsi"/>
              </w:rPr>
              <w:t xml:space="preserve">zákon o elektronizaci zdravotnictví navazuje na již právní úpravou zavedený systém, kdy poskytování zdravotních služeb a vše, co s tím souvisí, tedy i vedení zdravotnické dokumentace, je právně upraveno zákonem o zdravotních službách. Nicméně </w:t>
            </w:r>
            <w:r w:rsidR="001D5732">
              <w:rPr>
                <w:rStyle w:val="Hyperlink"/>
                <w:rFonts w:cstheme="minorHAnsi"/>
              </w:rPr>
              <w:t>bylo</w:t>
            </w:r>
            <w:r w:rsidRPr="00DA1101" w:rsidR="00DA1101">
              <w:rPr>
                <w:rStyle w:val="Hyperlink"/>
                <w:rFonts w:cstheme="minorHAnsi"/>
              </w:rPr>
              <w:t xml:space="preserve"> nutné změnit platnou právní </w:t>
            </w:r>
            <w:r w:rsidRPr="00DA1101" w:rsidR="00576C44">
              <w:rPr>
                <w:rStyle w:val="Hyperlink"/>
                <w:rFonts w:cstheme="minorHAnsi"/>
              </w:rPr>
              <w:t>úpravu – parametrizovat</w:t>
            </w:r>
            <w:r w:rsidRPr="00DA1101" w:rsidR="00DA1101">
              <w:rPr>
                <w:rStyle w:val="Hyperlink"/>
                <w:rFonts w:cstheme="minorHAnsi"/>
              </w:rPr>
              <w:t xml:space="preserve"> vedení zdravotnické dokumentace v elektronické podobě, což </w:t>
            </w:r>
            <w:r w:rsidR="001D5732">
              <w:rPr>
                <w:rStyle w:val="Hyperlink"/>
                <w:rFonts w:cstheme="minorHAnsi"/>
              </w:rPr>
              <w:t>bylo</w:t>
            </w:r>
            <w:r w:rsidRPr="00DA1101" w:rsidR="00DA1101">
              <w:rPr>
                <w:rStyle w:val="Hyperlink"/>
                <w:rFonts w:cstheme="minorHAnsi"/>
              </w:rPr>
              <w:t xml:space="preserve"> </w:t>
            </w:r>
            <w:r w:rsidR="00163569">
              <w:rPr>
                <w:rStyle w:val="Hyperlink"/>
                <w:rFonts w:cstheme="minorHAnsi"/>
              </w:rPr>
              <w:t>provedeno</w:t>
            </w:r>
            <w:r w:rsidRPr="00DA1101" w:rsidR="00163569">
              <w:rPr>
                <w:rStyle w:val="Hyperlink"/>
                <w:rFonts w:cstheme="minorHAnsi"/>
              </w:rPr>
              <w:t xml:space="preserve"> </w:t>
            </w:r>
            <w:r w:rsidRPr="00DA1101" w:rsidR="00DA1101">
              <w:rPr>
                <w:rStyle w:val="Hyperlink"/>
                <w:rFonts w:cstheme="minorHAnsi"/>
              </w:rPr>
              <w:t>změnou zákona o zdravotních službách</w:t>
            </w:r>
            <w:r w:rsidR="001D5732">
              <w:rPr>
                <w:rStyle w:val="Hyperlink"/>
                <w:rFonts w:cstheme="minorHAnsi"/>
              </w:rPr>
              <w:t>, která byla rovněž přijata</w:t>
            </w:r>
            <w:r w:rsidRPr="00DA1101" w:rsidR="00DA1101">
              <w:rPr>
                <w:rStyle w:val="Hyperlink"/>
                <w:rFonts w:cstheme="minorHAnsi"/>
              </w:rPr>
              <w:t>. Zároveň je nutno sjedno</w:t>
            </w:r>
            <w:r w:rsidR="00F2371E">
              <w:rPr>
                <w:rStyle w:val="Hyperlink"/>
                <w:rFonts w:cstheme="minorHAnsi"/>
              </w:rPr>
              <w:t>covat</w:t>
            </w:r>
            <w:r w:rsidRPr="00DA1101" w:rsidR="00DA1101">
              <w:rPr>
                <w:rStyle w:val="Hyperlink"/>
                <w:rFonts w:cstheme="minorHAnsi"/>
              </w:rPr>
              <w:t xml:space="preserve"> pravidla pro její uchovávání, a proto </w:t>
            </w:r>
            <w:r w:rsidR="00F2371E">
              <w:rPr>
                <w:rStyle w:val="Hyperlink"/>
                <w:rFonts w:cstheme="minorHAnsi"/>
              </w:rPr>
              <w:t>byla</w:t>
            </w:r>
            <w:r w:rsidRPr="00DA1101" w:rsidR="00DA1101">
              <w:rPr>
                <w:rStyle w:val="Hyperlink"/>
                <w:rFonts w:cstheme="minorHAnsi"/>
              </w:rPr>
              <w:t xml:space="preserve"> navrhována i změna zákona o archivnictví a spisové službě tak, aby bylo zajištěno jednotné vedení zdravotnické dokumentace jak pro veřejnoprávní, tak i pro soukromoprávní původce.</w:t>
            </w:r>
            <w:r>
              <w:tab/>
            </w:r>
            <w:r>
              <w:fldChar w:fldCharType="begin"/>
            </w:r>
            <w:r>
              <w:instrText xml:space="preserve"> PAGEREF _Toc256000002 \h </w:instrText>
            </w:r>
            <w:r>
              <w:fldChar w:fldCharType="separate"/>
            </w:r>
            <w:r>
              <w:t>11</w:t>
            </w:r>
            <w:r>
              <w:fldChar w:fldCharType="end"/>
            </w:r>
          </w:hyperlink>
        </w:p>
        <w:p>
          <w:pPr>
            <w:pStyle w:val="TOC1"/>
            <w:tabs>
              <w:tab w:val="right" w:leader="dot" w:pos="10456"/>
            </w:tabs>
            <w:rPr>
              <w:rFonts w:asciiTheme="minorHAnsi" w:hAnsiTheme="minorHAnsi"/>
              <w:noProof/>
              <w:sz w:val="22"/>
            </w:rPr>
          </w:pPr>
          <w:hyperlink w:anchor="_Toc256000004" w:history="1">
            <w:r w:rsidRPr="00B22243">
              <w:rPr>
                <w:rStyle w:val="Hyperlink"/>
                <w:rFonts w:cstheme="minorHAnsi"/>
              </w:rPr>
              <w:t>Roztříštěnost právní úpravy prvků elektronizace zdravotnictví také neumožň</w:t>
            </w:r>
            <w:r w:rsidR="00550546">
              <w:rPr>
                <w:rStyle w:val="Hyperlink"/>
                <w:rFonts w:cstheme="minorHAnsi"/>
              </w:rPr>
              <w:t>ovala</w:t>
            </w:r>
            <w:r w:rsidRPr="00B22243">
              <w:rPr>
                <w:rStyle w:val="Hyperlink"/>
                <w:rFonts w:cstheme="minorHAnsi"/>
              </w:rPr>
              <w:t xml:space="preserve"> systémové zavedení moderních a společných pravidel ochrany osobních údajů a požadavků kybernetické bezpečnosti, což lze označit za principiální nedostatek řešitelný pouze ucelenou právní úpravou elektronizace zdravotnictví jako </w:t>
            </w:r>
            <w:r w:rsidRPr="00B22243">
              <w:rPr>
                <w:rStyle w:val="Hyperlink"/>
                <w:rFonts w:cstheme="minorHAnsi"/>
              </w:rPr>
              <w:t xml:space="preserve">celku. </w:t>
            </w:r>
            <w:r w:rsidR="00B57555">
              <w:rPr>
                <w:rStyle w:val="Hyperlink"/>
                <w:rFonts w:cstheme="minorHAnsi"/>
              </w:rPr>
              <w:t>Z</w:t>
            </w:r>
            <w:r w:rsidRPr="00B22243">
              <w:rPr>
                <w:rStyle w:val="Hyperlink"/>
                <w:rFonts w:cstheme="minorHAnsi"/>
              </w:rPr>
              <w:t>ákon zaji</w:t>
            </w:r>
            <w:r w:rsidR="000A3207">
              <w:rPr>
                <w:rStyle w:val="Hyperlink"/>
                <w:rFonts w:cstheme="minorHAnsi"/>
              </w:rPr>
              <w:t>šťuje</w:t>
            </w:r>
            <w:r w:rsidRPr="00B22243">
              <w:rPr>
                <w:rStyle w:val="Hyperlink"/>
                <w:rFonts w:cstheme="minorHAnsi"/>
              </w:rPr>
              <w:t xml:space="preserve"> potřebný soulad s naplněním požadavků podle následujících právních předpisů a</w:t>
            </w:r>
            <w:r w:rsidR="00576C44">
              <w:rPr>
                <w:rStyle w:val="Hyperlink"/>
                <w:rFonts w:cstheme="minorHAnsi"/>
              </w:rPr>
              <w:t> </w:t>
            </w:r>
            <w:r w:rsidRPr="00B22243">
              <w:rPr>
                <w:rStyle w:val="Hyperlink"/>
                <w:rFonts w:cstheme="minorHAnsi"/>
              </w:rPr>
              <w:t>zákonů z oblasti ochrany osobních údajů a kybernetické bezpečnosti</w:t>
            </w:r>
            <w:r w:rsidR="00D8552E">
              <w:rPr>
                <w:rStyle w:val="Hyperlink"/>
                <w:rFonts w:cstheme="minorHAnsi"/>
              </w:rPr>
              <w:t>.</w:t>
            </w:r>
            <w:r>
              <w:tab/>
            </w:r>
            <w:r>
              <w:fldChar w:fldCharType="begin"/>
            </w:r>
            <w:r>
              <w:instrText xml:space="preserve"> PAGEREF _Toc256000004 \h </w:instrText>
            </w:r>
            <w:r>
              <w:fldChar w:fldCharType="separate"/>
            </w:r>
            <w:r>
              <w:t>11</w:t>
            </w:r>
            <w:r>
              <w:fldChar w:fldCharType="end"/>
            </w:r>
          </w:hyperlink>
        </w:p>
        <w:p>
          <w:pPr>
            <w:pStyle w:val="TOC1"/>
            <w:tabs>
              <w:tab w:val="left" w:pos="440"/>
              <w:tab w:val="right" w:leader="dot" w:pos="10456"/>
            </w:tabs>
            <w:rPr>
              <w:rFonts w:asciiTheme="minorHAnsi" w:hAnsiTheme="minorHAnsi"/>
              <w:noProof/>
              <w:sz w:val="22"/>
            </w:rPr>
          </w:pPr>
          <w:hyperlink w:anchor="_Toc256000007" w:history="1">
            <w:r>
              <w:rPr>
                <w:rStyle w:val="Hyperlink"/>
                <w:rFonts w:cstheme="minorHAnsi"/>
              </w:rPr>
              <w:t>3.</w:t>
            </w:r>
            <w:r>
              <w:rPr>
                <w:rFonts w:asciiTheme="minorHAnsi" w:hAnsiTheme="minorHAnsi" w:cstheme="minorHAnsi"/>
                <w:noProof/>
                <w:sz w:val="22"/>
              </w:rPr>
              <w:tab/>
            </w:r>
            <w:r w:rsidRPr="003E7EB8">
              <w:rPr>
                <w:rStyle w:val="Hyperlink"/>
                <w:rFonts w:cstheme="minorHAnsi"/>
              </w:rPr>
              <w:t>Hierarchická struktura prací a harmonogram realizace</w:t>
            </w:r>
            <w:r>
              <w:tab/>
            </w:r>
            <w:r>
              <w:fldChar w:fldCharType="begin"/>
            </w:r>
            <w:r>
              <w:instrText xml:space="preserve"> PAGEREF _Toc256000007 \h </w:instrText>
            </w:r>
            <w:r>
              <w:fldChar w:fldCharType="separate"/>
            </w:r>
            <w:r>
              <w:t>15</w:t>
            </w:r>
            <w:r>
              <w:fldChar w:fldCharType="end"/>
            </w:r>
          </w:hyperlink>
        </w:p>
        <w:p>
          <w:pPr>
            <w:pStyle w:val="TOC1"/>
            <w:tabs>
              <w:tab w:val="left" w:pos="440"/>
              <w:tab w:val="right" w:leader="dot" w:pos="10456"/>
            </w:tabs>
            <w:rPr>
              <w:rFonts w:asciiTheme="minorHAnsi" w:hAnsiTheme="minorHAnsi"/>
              <w:noProof/>
              <w:sz w:val="22"/>
            </w:rPr>
          </w:pPr>
          <w:hyperlink w:anchor="_Toc256000009" w:history="1">
            <w:r>
              <w:rPr>
                <w:rStyle w:val="Hyperlink"/>
                <w:rFonts w:cstheme="minorHAnsi"/>
              </w:rPr>
              <w:t>4.</w:t>
            </w:r>
            <w:r>
              <w:rPr>
                <w:rFonts w:asciiTheme="minorHAnsi" w:hAnsiTheme="minorHAnsi" w:cstheme="minorHAnsi"/>
                <w:noProof/>
                <w:sz w:val="22"/>
              </w:rPr>
              <w:tab/>
            </w:r>
            <w:r w:rsidRPr="00C24606">
              <w:rPr>
                <w:rStyle w:val="Hyperlink"/>
                <w:rFonts w:cstheme="minorHAnsi"/>
              </w:rPr>
              <w:t xml:space="preserve">Rozpočet a </w:t>
            </w:r>
            <w:r w:rsidRPr="00C24606" w:rsidR="0024762C">
              <w:rPr>
                <w:rStyle w:val="Hyperlink"/>
                <w:rFonts w:cstheme="minorHAnsi"/>
              </w:rPr>
              <w:t xml:space="preserve">předpokládané </w:t>
            </w:r>
            <w:r w:rsidRPr="00C24606">
              <w:rPr>
                <w:rStyle w:val="Hyperlink"/>
                <w:rFonts w:cstheme="minorHAnsi"/>
              </w:rPr>
              <w:t>zdroje financování</w:t>
            </w:r>
            <w:r>
              <w:tab/>
            </w:r>
            <w:r>
              <w:fldChar w:fldCharType="begin"/>
            </w:r>
            <w:r>
              <w:instrText xml:space="preserve"> PAGEREF _Toc256000009 \h </w:instrText>
            </w:r>
            <w:r>
              <w:fldChar w:fldCharType="separate"/>
            </w:r>
            <w:r>
              <w:t>29</w:t>
            </w:r>
            <w:r>
              <w:fldChar w:fldCharType="end"/>
            </w:r>
          </w:hyperlink>
        </w:p>
        <w:p>
          <w:pPr>
            <w:pStyle w:val="TOC1"/>
            <w:tabs>
              <w:tab w:val="left" w:pos="440"/>
              <w:tab w:val="right" w:leader="dot" w:pos="10456"/>
            </w:tabs>
            <w:rPr>
              <w:rFonts w:asciiTheme="minorHAnsi" w:hAnsiTheme="minorHAnsi"/>
              <w:noProof/>
              <w:sz w:val="22"/>
            </w:rPr>
          </w:pPr>
          <w:hyperlink w:anchor="_Toc256000010" w:history="1">
            <w:r>
              <w:rPr>
                <w:rStyle w:val="Hyperlink"/>
                <w:rFonts w:cstheme="minorHAnsi"/>
              </w:rPr>
              <w:t>5.</w:t>
            </w:r>
            <w:r>
              <w:rPr>
                <w:rFonts w:asciiTheme="minorHAnsi" w:hAnsiTheme="minorHAnsi" w:cstheme="minorHAnsi"/>
                <w:noProof/>
                <w:sz w:val="22"/>
              </w:rPr>
              <w:tab/>
            </w:r>
            <w:r w:rsidRPr="00C24606">
              <w:rPr>
                <w:rStyle w:val="Hyperlink"/>
                <w:rFonts w:cstheme="minorHAnsi"/>
              </w:rPr>
              <w:t>Soubor indikátorů</w:t>
            </w:r>
            <w:r>
              <w:tab/>
            </w:r>
            <w:r>
              <w:fldChar w:fldCharType="begin"/>
            </w:r>
            <w:r>
              <w:instrText xml:space="preserve"> PAGEREF _Toc256000010 \h </w:instrText>
            </w:r>
            <w:r>
              <w:fldChar w:fldCharType="separate"/>
            </w:r>
            <w:r>
              <w:t>32</w:t>
            </w:r>
            <w:r>
              <w:fldChar w:fldCharType="end"/>
            </w:r>
          </w:hyperlink>
        </w:p>
        <w:p>
          <w:pPr>
            <w:pStyle w:val="TOC1"/>
            <w:tabs>
              <w:tab w:val="left" w:pos="440"/>
              <w:tab w:val="right" w:leader="dot" w:pos="10456"/>
            </w:tabs>
            <w:rPr>
              <w:rFonts w:asciiTheme="minorHAnsi" w:hAnsiTheme="minorHAnsi"/>
              <w:noProof/>
              <w:sz w:val="22"/>
            </w:rPr>
          </w:pPr>
          <w:hyperlink w:anchor="_Toc256000011" w:history="1">
            <w:r>
              <w:rPr>
                <w:rStyle w:val="Hyperlink"/>
                <w:rFonts w:cstheme="minorHAnsi"/>
              </w:rPr>
              <w:t>6.</w:t>
            </w:r>
            <w:r>
              <w:rPr>
                <w:rFonts w:asciiTheme="minorHAnsi" w:hAnsiTheme="minorHAnsi" w:cstheme="minorHAnsi"/>
                <w:noProof/>
                <w:sz w:val="22"/>
              </w:rPr>
              <w:tab/>
            </w:r>
            <w:r w:rsidRPr="00C24606">
              <w:rPr>
                <w:rStyle w:val="Hyperlink"/>
                <w:rFonts w:cstheme="minorHAnsi"/>
              </w:rPr>
              <w:t>Implementační struktura</w:t>
            </w:r>
            <w:r>
              <w:tab/>
            </w:r>
            <w:r>
              <w:fldChar w:fldCharType="begin"/>
            </w:r>
            <w:r>
              <w:instrText xml:space="preserve"> PAGEREF _Toc256000011 \h </w:instrText>
            </w:r>
            <w:r>
              <w:fldChar w:fldCharType="separate"/>
            </w:r>
            <w:r>
              <w:t>34</w:t>
            </w:r>
            <w:r>
              <w:fldChar w:fldCharType="end"/>
            </w:r>
          </w:hyperlink>
        </w:p>
        <w:p>
          <w:pPr>
            <w:pStyle w:val="TOC1"/>
            <w:tabs>
              <w:tab w:val="left" w:pos="440"/>
              <w:tab w:val="right" w:leader="dot" w:pos="10456"/>
            </w:tabs>
            <w:rPr>
              <w:rFonts w:asciiTheme="minorHAnsi" w:hAnsiTheme="minorHAnsi"/>
              <w:noProof/>
              <w:sz w:val="22"/>
            </w:rPr>
          </w:pPr>
          <w:hyperlink w:anchor="_Toc256000012" w:history="1">
            <w:r>
              <w:rPr>
                <w:rStyle w:val="Hyperlink"/>
                <w:rFonts w:cstheme="minorHAnsi"/>
              </w:rPr>
              <w:t>7.</w:t>
            </w:r>
            <w:r>
              <w:rPr>
                <w:rFonts w:asciiTheme="minorHAnsi" w:hAnsiTheme="minorHAnsi" w:cstheme="minorHAnsi"/>
                <w:noProof/>
                <w:sz w:val="22"/>
              </w:rPr>
              <w:tab/>
            </w:r>
            <w:r w:rsidRPr="00C24606">
              <w:rPr>
                <w:rStyle w:val="Hyperlink"/>
                <w:rFonts w:cstheme="minorHAnsi"/>
              </w:rPr>
              <w:t>Řízení rizik</w:t>
            </w:r>
            <w:r>
              <w:tab/>
            </w:r>
            <w:r>
              <w:fldChar w:fldCharType="begin"/>
            </w:r>
            <w:r>
              <w:instrText xml:space="preserve"> PAGEREF _Toc256000012 \h </w:instrText>
            </w:r>
            <w:r>
              <w:fldChar w:fldCharType="separate"/>
            </w:r>
            <w:r>
              <w:t>36</w:t>
            </w:r>
            <w:r>
              <w:fldChar w:fldCharType="end"/>
            </w:r>
          </w:hyperlink>
        </w:p>
        <w:p>
          <w:pPr>
            <w:pStyle w:val="TOC1"/>
            <w:tabs>
              <w:tab w:val="left" w:pos="440"/>
              <w:tab w:val="right" w:leader="dot" w:pos="10456"/>
            </w:tabs>
            <w:rPr>
              <w:rFonts w:asciiTheme="minorHAnsi" w:hAnsiTheme="minorHAnsi"/>
              <w:noProof/>
              <w:sz w:val="22"/>
            </w:rPr>
          </w:pPr>
          <w:hyperlink w:anchor="_Toc256000013" w:history="1">
            <w:r>
              <w:rPr>
                <w:rStyle w:val="Hyperlink"/>
                <w:rFonts w:cstheme="minorHAnsi"/>
              </w:rPr>
              <w:t>8.</w:t>
            </w:r>
            <w:r>
              <w:rPr>
                <w:rFonts w:asciiTheme="minorHAnsi" w:hAnsiTheme="minorHAnsi" w:cstheme="minorHAnsi"/>
                <w:noProof/>
                <w:sz w:val="22"/>
              </w:rPr>
              <w:tab/>
            </w:r>
            <w:r w:rsidRPr="00C24606">
              <w:rPr>
                <w:rStyle w:val="Hyperlink"/>
                <w:rFonts w:cstheme="minorHAnsi"/>
              </w:rPr>
              <w:t>Řízení změn</w:t>
            </w:r>
            <w:r>
              <w:tab/>
            </w:r>
            <w:r>
              <w:fldChar w:fldCharType="begin"/>
            </w:r>
            <w:r>
              <w:instrText xml:space="preserve"> PAGEREF _Toc256000013 \h </w:instrText>
            </w:r>
            <w:r>
              <w:fldChar w:fldCharType="separate"/>
            </w:r>
            <w:r>
              <w:t>38</w:t>
            </w:r>
            <w:r>
              <w:fldChar w:fldCharType="end"/>
            </w:r>
          </w:hyperlink>
        </w:p>
        <w:p>
          <w:pPr>
            <w:pStyle w:val="TOC1"/>
            <w:tabs>
              <w:tab w:val="left" w:pos="440"/>
              <w:tab w:val="right" w:leader="dot" w:pos="10456"/>
            </w:tabs>
            <w:rPr>
              <w:rFonts w:asciiTheme="minorHAnsi" w:hAnsiTheme="minorHAnsi"/>
              <w:noProof/>
              <w:sz w:val="22"/>
            </w:rPr>
          </w:pPr>
          <w:hyperlink w:anchor="_Toc256000014" w:history="1">
            <w:r>
              <w:rPr>
                <w:rStyle w:val="Hyperlink"/>
                <w:rFonts w:cstheme="minorHAnsi"/>
              </w:rPr>
              <w:t>9.</w:t>
            </w:r>
            <w:r>
              <w:rPr>
                <w:rFonts w:asciiTheme="minorHAnsi" w:hAnsiTheme="minorHAnsi" w:cstheme="minorHAnsi"/>
                <w:noProof/>
                <w:sz w:val="22"/>
              </w:rPr>
              <w:tab/>
            </w:r>
            <w:r w:rsidRPr="00C24606">
              <w:rPr>
                <w:rStyle w:val="Hyperlink"/>
                <w:rFonts w:cstheme="minorHAnsi"/>
              </w:rPr>
              <w:t xml:space="preserve">Monitorování a </w:t>
            </w:r>
            <w:r w:rsidRPr="00C24606" w:rsidR="00F20902">
              <w:rPr>
                <w:rStyle w:val="Hyperlink"/>
                <w:rFonts w:cstheme="minorHAnsi"/>
              </w:rPr>
              <w:t>evaluace</w:t>
            </w:r>
            <w:r>
              <w:tab/>
            </w:r>
            <w:r>
              <w:fldChar w:fldCharType="begin"/>
            </w:r>
            <w:r>
              <w:instrText xml:space="preserve"> PAGEREF _Toc256000014 \h </w:instrText>
            </w:r>
            <w:r>
              <w:fldChar w:fldCharType="separate"/>
            </w:r>
            <w:r>
              <w:t>39</w:t>
            </w:r>
            <w:r>
              <w:fldChar w:fldCharType="end"/>
            </w:r>
          </w:hyperlink>
        </w:p>
        <w:p>
          <w:pPr>
            <w:pStyle w:val="TOC1"/>
            <w:tabs>
              <w:tab w:val="left" w:pos="660"/>
              <w:tab w:val="right" w:leader="dot" w:pos="10456"/>
            </w:tabs>
            <w:rPr>
              <w:rFonts w:asciiTheme="minorHAnsi" w:hAnsiTheme="minorHAnsi"/>
              <w:noProof/>
              <w:sz w:val="22"/>
            </w:rPr>
          </w:pPr>
          <w:hyperlink w:anchor="_Toc256000015" w:history="1">
            <w:r>
              <w:rPr>
                <w:rStyle w:val="Hyperlink"/>
                <w:rFonts w:cstheme="minorHAnsi"/>
              </w:rPr>
              <w:t>10.</w:t>
            </w:r>
            <w:r>
              <w:rPr>
                <w:rFonts w:asciiTheme="minorHAnsi" w:hAnsiTheme="minorHAnsi" w:cstheme="minorHAnsi"/>
                <w:noProof/>
                <w:sz w:val="22"/>
              </w:rPr>
              <w:tab/>
            </w:r>
            <w:r w:rsidRPr="00C24606">
              <w:rPr>
                <w:rStyle w:val="Hyperlink"/>
                <w:rFonts w:cstheme="minorHAnsi"/>
              </w:rPr>
              <w:t>Komunikační plán</w:t>
            </w:r>
            <w:r>
              <w:tab/>
            </w:r>
            <w:r>
              <w:fldChar w:fldCharType="begin"/>
            </w:r>
            <w:r>
              <w:instrText xml:space="preserve"> PAGEREF _Toc256000015 \h </w:instrText>
            </w:r>
            <w:r>
              <w:fldChar w:fldCharType="separate"/>
            </w:r>
            <w:r>
              <w:t>40</w:t>
            </w:r>
            <w:r>
              <w:fldChar w:fldCharType="end"/>
            </w:r>
          </w:hyperlink>
        </w:p>
        <w:p w:rsidR="00C11F34" w:rsidRPr="00C24606" w:rsidP="00C709C0">
          <w:pPr>
            <w:jc w:val="both"/>
            <w:rPr>
              <w:rFonts w:asciiTheme="minorHAnsi" w:hAnsiTheme="minorHAnsi" w:cstheme="minorHAnsi"/>
            </w:rPr>
          </w:pPr>
          <w:r w:rsidRPr="00C24606">
            <w:rPr>
              <w:rFonts w:asciiTheme="minorHAnsi" w:hAnsiTheme="minorHAnsi" w:cstheme="minorHAnsi"/>
              <w:b/>
              <w:bCs/>
            </w:rPr>
            <w:fldChar w:fldCharType="end"/>
          </w:r>
        </w:p>
      </w:sdtContent>
    </w:sdt>
    <w:p w:rsidR="00C11F34" w:rsidRPr="00C24606" w:rsidP="00C709C0" w14:paraId="099E81EE" w14:textId="77777777">
      <w:pPr>
        <w:jc w:val="both"/>
        <w:rPr>
          <w:rFonts w:asciiTheme="minorHAnsi" w:hAnsiTheme="minorHAnsi" w:cstheme="minorHAnsi"/>
        </w:rPr>
      </w:pPr>
      <w:r w:rsidRPr="00C24606">
        <w:rPr>
          <w:rFonts w:asciiTheme="minorHAnsi" w:hAnsiTheme="minorHAnsi" w:cstheme="minorHAnsi"/>
        </w:rPr>
        <w:br w:type="page"/>
      </w:r>
    </w:p>
    <w:p w:rsidR="00564925" w:rsidRPr="00C24606" w:rsidP="00C709C0" w14:paraId="20EB3F96" w14:textId="77777777">
      <w:pPr>
        <w:jc w:val="both"/>
        <w:rPr>
          <w:rFonts w:asciiTheme="minorHAnsi" w:hAnsiTheme="minorHAnsi" w:cstheme="minorHAnsi"/>
        </w:rPr>
      </w:pPr>
    </w:p>
    <w:p w:rsidR="00564925" w:rsidRPr="00C24606" w:rsidP="00C709C0" w14:paraId="7BF312D6" w14:textId="77777777">
      <w:pPr>
        <w:pStyle w:val="Heading1"/>
        <w:numPr>
          <w:ilvl w:val="0"/>
          <w:numId w:val="13"/>
        </w:numPr>
        <w:jc w:val="both"/>
        <w:rPr>
          <w:rFonts w:cstheme="minorHAnsi"/>
        </w:rPr>
      </w:pPr>
      <w:bookmarkStart w:id="222" w:name="_Toc256000000"/>
      <w:r w:rsidRPr="00C24606">
        <w:rPr>
          <w:rFonts w:cstheme="minorHAnsi"/>
        </w:rPr>
        <w:t>Úvod</w:t>
      </w:r>
      <w:bookmarkEnd w:id="222"/>
      <w:r w:rsidRPr="00C24606">
        <w:rPr>
          <w:rFonts w:cstheme="minorHAnsi"/>
        </w:rPr>
        <w:t xml:space="preserve"> </w:t>
      </w:r>
    </w:p>
    <w:p w:rsidR="00564925" w:rsidRPr="00C24606" w:rsidP="00C709C0" w14:paraId="3726A889" w14:textId="77777777">
      <w:pPr>
        <w:jc w:val="both"/>
        <w:rPr>
          <w:rFonts w:asciiTheme="minorHAnsi" w:hAnsiTheme="minorHAnsi" w:cstheme="minorHAnsi"/>
        </w:rPr>
      </w:pPr>
    </w:p>
    <w:p w:rsidR="00B677A8" w:rsidP="00B677A8" w14:paraId="7FC7F839" w14:textId="0263A79B">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který je základním resortním koncepčním materiálem</w:t>
      </w:r>
      <w:r>
        <w:rPr>
          <w:rFonts w:asciiTheme="minorHAnsi" w:hAnsiTheme="minorHAnsi" w:cs="Arial"/>
        </w:rPr>
        <w:t xml:space="preserve"> </w:t>
      </w:r>
      <w:r w:rsidRPr="005957CD">
        <w:rPr>
          <w:rFonts w:asciiTheme="minorHAnsi" w:hAnsiTheme="minorHAnsi" w:cs="Arial"/>
        </w:rPr>
        <w:t>s</w:t>
      </w:r>
      <w:r>
        <w:rPr>
          <w:rFonts w:asciiTheme="minorHAnsi" w:hAnsiTheme="minorHAnsi" w:cs="Arial"/>
        </w:rPr>
        <w:t xml:space="preserve"> </w:t>
      </w:r>
      <w:r w:rsidRPr="005957CD">
        <w:rPr>
          <w:rFonts w:asciiTheme="minorHAnsi" w:hAnsiTheme="minorHAnsi" w:cs="Arial"/>
        </w:rPr>
        <w:t xml:space="preserve">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B677A8" w:rsidRPr="00742FF9" w:rsidP="00B677A8" w14:paraId="358AABE7" w14:textId="77777777">
      <w:pPr>
        <w:jc w:val="both"/>
        <w:rPr>
          <w:rFonts w:asciiTheme="minorHAnsi" w:hAnsiTheme="minorHAnsi" w:cs="Arial"/>
        </w:rPr>
      </w:pPr>
    </w:p>
    <w:p w:rsidR="00B677A8" w:rsidP="00B677A8" w14:paraId="23F186E0"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B677A8" w:rsidRPr="005957CD" w:rsidP="00B677A8" w14:paraId="03CFFD92" w14:textId="77777777">
      <w:pPr>
        <w:jc w:val="both"/>
        <w:rPr>
          <w:rFonts w:asciiTheme="minorHAnsi" w:hAnsiTheme="minorHAnsi" w:cs="Arial"/>
        </w:rPr>
      </w:pPr>
    </w:p>
    <w:p w:rsidR="00B677A8" w:rsidP="00B677A8" w14:paraId="5D3F745F"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B677A8" w:rsidRPr="005957CD" w:rsidP="00B677A8" w14:paraId="66605267" w14:textId="77777777">
      <w:pPr>
        <w:jc w:val="both"/>
        <w:rPr>
          <w:rFonts w:asciiTheme="minorHAnsi" w:hAnsiTheme="minorHAnsi" w:cs="Arial"/>
        </w:rPr>
      </w:pPr>
    </w:p>
    <w:p w:rsidR="00B677A8" w:rsidRPr="005957CD" w:rsidP="00B677A8" w14:paraId="184616DB" w14:textId="77777777">
      <w:pPr>
        <w:pStyle w:val="ListParagraph"/>
        <w:numPr>
          <w:ilvl w:val="0"/>
          <w:numId w:val="1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B677A8" w:rsidRPr="005957CD" w:rsidP="00B677A8" w14:paraId="53E79671"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optimalizace zdravotnického systému </w:t>
      </w:r>
    </w:p>
    <w:p w:rsidR="00B677A8" w:rsidRPr="005957CD" w:rsidP="00B677A8" w14:paraId="76834071"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podpora vědy a výzkumu </w:t>
      </w:r>
    </w:p>
    <w:p w:rsidR="00B677A8" w:rsidRPr="005957CD" w:rsidP="00B677A8" w14:paraId="244C35A0" w14:textId="77777777">
      <w:pPr>
        <w:jc w:val="both"/>
        <w:rPr>
          <w:rFonts w:asciiTheme="minorHAnsi" w:hAnsiTheme="minorHAnsi" w:cs="Arial"/>
        </w:rPr>
      </w:pPr>
    </w:p>
    <w:p w:rsidR="00B677A8" w:rsidRPr="00D619EE" w:rsidP="00B677A8" w14:paraId="1AB1F74C"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617846" w:rsidP="00B677A8" w14:paraId="567372B7" w14:textId="37C06991">
      <w:pPr>
        <w:jc w:val="both"/>
        <w:rPr>
          <w:rFonts w:asciiTheme="minorHAnsi" w:hAnsiTheme="minorHAnsi" w:cstheme="minorHAnsi"/>
          <w:sz w:val="20"/>
          <w:szCs w:val="20"/>
        </w:rPr>
      </w:pPr>
      <w:r>
        <w:rPr>
          <w:rFonts w:asciiTheme="minorHAnsi" w:hAnsiTheme="minorHAnsi" w:cstheme="minorHAnsi"/>
          <w:noProof/>
          <w:sz w:val="20"/>
          <w:szCs w:val="20"/>
        </w:rPr>
        <w:drawing>
          <wp:inline distT="0" distB="0" distL="0" distR="0">
            <wp:extent cx="5295900" cy="7490971"/>
            <wp:effectExtent l="0" t="0" r="0" b="0"/>
            <wp:docPr id="1471184336"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184336" name="Obrázek 1" descr="Obsah obrázku text, snímek obrazovky, Písmo, Tisk"/>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324968" cy="7532087"/>
                    </a:xfrm>
                    <a:prstGeom prst="rect">
                      <a:avLst/>
                    </a:prstGeom>
                  </pic:spPr>
                </pic:pic>
              </a:graphicData>
            </a:graphic>
          </wp:inline>
        </w:drawing>
      </w:r>
    </w:p>
    <w:p w:rsidR="00D458C7" w:rsidRPr="00B677A8" w:rsidP="00C709C0" w14:paraId="0EF7D45F" w14:textId="0F025DEB">
      <w:pPr>
        <w:jc w:val="both"/>
        <w:rPr>
          <w:rFonts w:asciiTheme="minorHAnsi" w:hAnsiTheme="minorHAnsi" w:cs="Arial"/>
        </w:rPr>
      </w:pPr>
      <w:r w:rsidRPr="00CD23D4">
        <w:rPr>
          <w:rFonts w:asciiTheme="minorHAnsi" w:hAnsiTheme="minorHAnsi" w:cstheme="minorHAnsi"/>
          <w:sz w:val="20"/>
          <w:szCs w:val="20"/>
        </w:rPr>
        <w:t>Obr. 1 Struktura specifických cílů Strategického rámce Zdraví 2035</w:t>
      </w:r>
    </w:p>
    <w:p w:rsidR="00B677A8" w:rsidRPr="005957CD" w:rsidP="00B677A8" w14:paraId="255B40BB"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B677A8" w:rsidRPr="005957CD" w:rsidP="00B677A8" w14:paraId="38CEFA16" w14:textId="77777777">
      <w:pPr>
        <w:jc w:val="both"/>
        <w:rPr>
          <w:rFonts w:asciiTheme="minorHAnsi" w:hAnsiTheme="minorHAnsi" w:cs="Arial"/>
        </w:rPr>
      </w:pPr>
    </w:p>
    <w:p w:rsidR="00B677A8" w:rsidRPr="005957CD" w:rsidP="00B677A8" w14:paraId="775CE1A6"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B677A8" w:rsidRPr="00F2646F" w:rsidP="00B677A8" w14:paraId="41499E55" w14:textId="77777777">
      <w:pPr>
        <w:jc w:val="both"/>
        <w:rPr>
          <w:rFonts w:asciiTheme="minorHAnsi" w:hAnsiTheme="minorHAnsi" w:cs="Arial"/>
        </w:rPr>
      </w:pPr>
    </w:p>
    <w:p w:rsidR="00B677A8" w:rsidP="00B677A8" w14:paraId="404BF4A0" w14:textId="46375C1B">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w:t>
      </w:r>
      <w:r>
        <w:rPr>
          <w:rFonts w:asciiTheme="minorHAnsi" w:hAnsiTheme="minorHAnsi" w:cs="Arial"/>
        </w:rPr>
        <w:t xml:space="preserve"> </w:t>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617846">
        <w:rPr>
          <w:rFonts w:asciiTheme="minorHAnsi" w:hAnsiTheme="minorHAnsi" w:cs="Arial"/>
        </w:rPr>
        <w:t>v letech 2023-2024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5358B3" w:rsidRPr="00C24606" w:rsidP="00C709C0" w14:paraId="56DD4097" w14:textId="77777777">
      <w:pPr>
        <w:jc w:val="both"/>
        <w:rPr>
          <w:rFonts w:asciiTheme="minorHAnsi" w:hAnsiTheme="minorHAnsi" w:cstheme="minorHAnsi"/>
        </w:rPr>
      </w:pPr>
    </w:p>
    <w:p w:rsidR="00671569" w:rsidP="00C709C0" w14:paraId="6AC3CED0" w14:textId="0CA070C8">
      <w:pPr>
        <w:jc w:val="both"/>
        <w:rPr>
          <w:rFonts w:asciiTheme="minorHAnsi" w:hAnsiTheme="minorHAnsi" w:cstheme="minorHAnsi"/>
        </w:rPr>
      </w:pPr>
      <w:r w:rsidRPr="00C24606">
        <w:rPr>
          <w:rFonts w:asciiTheme="minorHAnsi" w:hAnsiTheme="minorHAnsi" w:cstheme="minorHAnsi"/>
        </w:rPr>
        <w:t>Specifický cíl 2</w:t>
      </w:r>
      <w:r w:rsidR="00D458C7">
        <w:rPr>
          <w:rFonts w:asciiTheme="minorHAnsi" w:hAnsiTheme="minorHAnsi" w:cstheme="minorHAnsi"/>
        </w:rPr>
        <w:t>.3</w:t>
      </w:r>
      <w:r w:rsidRPr="00C24606">
        <w:rPr>
          <w:rFonts w:asciiTheme="minorHAnsi" w:hAnsiTheme="minorHAnsi" w:cstheme="minorHAnsi"/>
        </w:rPr>
        <w:t xml:space="preserve"> a jeho dílčí cíle a v nich navrhovaná opatření doplňují ostatní specifické cíle tak, aby </w:t>
      </w:r>
      <w:r w:rsidR="00D458C7">
        <w:rPr>
          <w:rFonts w:asciiTheme="minorHAnsi" w:hAnsiTheme="minorHAnsi" w:cstheme="minorHAnsi"/>
        </w:rPr>
        <w:t>S</w:t>
      </w:r>
      <w:r w:rsidRPr="00C24606" w:rsidR="00D458C7">
        <w:rPr>
          <w:rFonts w:asciiTheme="minorHAnsi" w:hAnsiTheme="minorHAnsi" w:cstheme="minorHAnsi"/>
        </w:rPr>
        <w:t xml:space="preserve">trategický </w:t>
      </w:r>
      <w:r w:rsidRPr="00C24606">
        <w:rPr>
          <w:rFonts w:asciiTheme="minorHAnsi" w:hAnsiTheme="minorHAnsi" w:cstheme="minorHAnsi"/>
        </w:rPr>
        <w:t>rámec</w:t>
      </w:r>
      <w:r w:rsidR="00D458C7">
        <w:rPr>
          <w:rFonts w:asciiTheme="minorHAnsi" w:hAnsiTheme="minorHAnsi" w:cstheme="minorHAnsi"/>
        </w:rPr>
        <w:t xml:space="preserve"> Zdraví </w:t>
      </w:r>
      <w:r w:rsidR="00655B6A">
        <w:rPr>
          <w:rFonts w:asciiTheme="minorHAnsi" w:hAnsiTheme="minorHAnsi" w:cstheme="minorHAnsi"/>
        </w:rPr>
        <w:t>2035</w:t>
      </w:r>
      <w:r w:rsidRPr="00C24606" w:rsidR="00655B6A">
        <w:rPr>
          <w:rFonts w:asciiTheme="minorHAnsi" w:hAnsiTheme="minorHAnsi" w:cstheme="minorHAnsi"/>
        </w:rPr>
        <w:t xml:space="preserve"> </w:t>
      </w:r>
      <w:r w:rsidRPr="00C24606">
        <w:rPr>
          <w:rFonts w:asciiTheme="minorHAnsi" w:hAnsiTheme="minorHAnsi" w:cstheme="minorHAnsi"/>
        </w:rPr>
        <w:t>pokrýval celé spektrum agend zajišťovaných v resortu Ministerstva zdravotnictví.</w:t>
      </w:r>
      <w:r w:rsidR="00C06457">
        <w:rPr>
          <w:rFonts w:asciiTheme="minorHAnsi" w:hAnsiTheme="minorHAnsi" w:cstheme="minorHAnsi"/>
        </w:rPr>
        <w:t xml:space="preserve"> </w:t>
      </w:r>
      <w:r w:rsidRPr="00C06457" w:rsidR="00C06457">
        <w:rPr>
          <w:rFonts w:asciiTheme="minorHAnsi" w:hAnsiTheme="minorHAnsi" w:cstheme="minorHAnsi"/>
        </w:rPr>
        <w:t>Do přípravy implementačního plánu byli zapojeni odborníci na elektronizaci zdravotnictví, byly využity dokumenty a nové poznatky z dokumentů E</w:t>
      </w:r>
      <w:r w:rsidR="00F62720">
        <w:rPr>
          <w:rFonts w:asciiTheme="minorHAnsi" w:hAnsiTheme="minorHAnsi" w:cstheme="minorHAnsi"/>
        </w:rPr>
        <w:t>vropské komise</w:t>
      </w:r>
      <w:r w:rsidRPr="00C06457" w:rsidR="00C06457">
        <w:rPr>
          <w:rFonts w:asciiTheme="minorHAnsi" w:hAnsiTheme="minorHAnsi" w:cstheme="minorHAnsi"/>
        </w:rPr>
        <w:t>, WHO či OECD</w:t>
      </w:r>
      <w:r w:rsidR="00C06457">
        <w:rPr>
          <w:rFonts w:asciiTheme="minorHAnsi" w:hAnsiTheme="minorHAnsi" w:cstheme="minorHAnsi"/>
        </w:rPr>
        <w:t>.</w:t>
      </w:r>
    </w:p>
    <w:p w:rsidR="00576C44" w:rsidRPr="00C06457" w:rsidP="00C709C0" w14:paraId="4CFF5833" w14:textId="77777777">
      <w:pPr>
        <w:jc w:val="both"/>
        <w:rPr>
          <w:rFonts w:asciiTheme="minorHAnsi" w:hAnsiTheme="minorHAnsi" w:cstheme="minorHAnsi"/>
        </w:rPr>
      </w:pPr>
    </w:p>
    <w:p w:rsidR="00671569" w:rsidRPr="00C24606" w:rsidP="00C709C0" w14:paraId="5165D48A" w14:textId="4BFB486E">
      <w:pPr>
        <w:jc w:val="both"/>
        <w:rPr>
          <w:rFonts w:asciiTheme="minorHAnsi" w:hAnsiTheme="minorHAnsi" w:cstheme="minorHAnsi"/>
        </w:rPr>
      </w:pPr>
      <w:r w:rsidRPr="00C24606">
        <w:rPr>
          <w:rFonts w:asciiTheme="minorHAnsi" w:hAnsiTheme="minorHAnsi" w:cstheme="minorHAnsi"/>
        </w:rPr>
        <w:t>Str</w:t>
      </w:r>
      <w:r w:rsidRPr="00C24606">
        <w:rPr>
          <w:rFonts w:asciiTheme="minorHAnsi" w:hAnsiTheme="minorHAnsi" w:cstheme="minorHAnsi"/>
        </w:rPr>
        <w:t>ategick</w:t>
      </w:r>
      <w:r w:rsidRPr="00C24606">
        <w:rPr>
          <w:rFonts w:asciiTheme="minorHAnsi" w:hAnsiTheme="minorHAnsi" w:cstheme="minorHAnsi"/>
        </w:rPr>
        <w:t xml:space="preserve">ým </w:t>
      </w:r>
      <w:r w:rsidRPr="00C24606">
        <w:rPr>
          <w:rFonts w:asciiTheme="minorHAnsi" w:hAnsiTheme="minorHAnsi" w:cstheme="minorHAnsi"/>
        </w:rPr>
        <w:t xml:space="preserve">dokumentem </w:t>
      </w:r>
      <w:r w:rsidRPr="00C24606">
        <w:rPr>
          <w:rFonts w:asciiTheme="minorHAnsi" w:hAnsiTheme="minorHAnsi" w:cstheme="minorHAnsi"/>
        </w:rPr>
        <w:t xml:space="preserve">pro oblast elektronizace </w:t>
      </w:r>
      <w:r w:rsidRPr="00C24606" w:rsidR="0014023A">
        <w:rPr>
          <w:rFonts w:asciiTheme="minorHAnsi" w:hAnsiTheme="minorHAnsi" w:cstheme="minorHAnsi"/>
        </w:rPr>
        <w:t xml:space="preserve">zdravotnictví </w:t>
      </w:r>
      <w:r w:rsidRPr="00C24606">
        <w:rPr>
          <w:rFonts w:asciiTheme="minorHAnsi" w:hAnsiTheme="minorHAnsi" w:cstheme="minorHAnsi"/>
        </w:rPr>
        <w:t xml:space="preserve">je i </w:t>
      </w:r>
      <w:r w:rsidRPr="00C24606" w:rsidR="00044C4B">
        <w:rPr>
          <w:rFonts w:asciiTheme="minorHAnsi" w:hAnsiTheme="minorHAnsi" w:cstheme="minorHAnsi"/>
        </w:rPr>
        <w:t>Národní strategie elektronického zdravotnictví na období 2016 – 2020, která byla schválena Usnesením vlády ČR ze dne 28.</w:t>
      </w:r>
      <w:r w:rsidR="00D458C7">
        <w:rPr>
          <w:rFonts w:asciiTheme="minorHAnsi" w:hAnsiTheme="minorHAnsi" w:cstheme="minorHAnsi"/>
        </w:rPr>
        <w:t xml:space="preserve"> listopadu</w:t>
      </w:r>
      <w:r w:rsidR="00691AB7">
        <w:rPr>
          <w:rFonts w:asciiTheme="minorHAnsi" w:hAnsiTheme="minorHAnsi" w:cstheme="minorHAnsi"/>
        </w:rPr>
        <w:t xml:space="preserve"> </w:t>
      </w:r>
      <w:r w:rsidRPr="00C24606" w:rsidR="00044C4B">
        <w:rPr>
          <w:rFonts w:asciiTheme="minorHAnsi" w:hAnsiTheme="minorHAnsi" w:cstheme="minorHAnsi"/>
        </w:rPr>
        <w:t>2016 č.</w:t>
      </w:r>
      <w:r w:rsidR="00691AB7">
        <w:rPr>
          <w:rFonts w:asciiTheme="minorHAnsi" w:hAnsiTheme="minorHAnsi" w:cstheme="minorHAnsi"/>
        </w:rPr>
        <w:t> </w:t>
      </w:r>
      <w:r w:rsidRPr="00C24606" w:rsidR="00044C4B">
        <w:rPr>
          <w:rFonts w:asciiTheme="minorHAnsi" w:hAnsiTheme="minorHAnsi" w:cstheme="minorHAnsi"/>
        </w:rPr>
        <w:t>1054 a Akční plán k Národní strategii elektronického zdravotnictví na období 2016 - 2020  předložený 19.</w:t>
      </w:r>
      <w:r w:rsidR="00D458C7">
        <w:rPr>
          <w:rFonts w:asciiTheme="minorHAnsi" w:hAnsiTheme="minorHAnsi" w:cstheme="minorHAnsi"/>
        </w:rPr>
        <w:t xml:space="preserve"> dubna </w:t>
      </w:r>
      <w:r w:rsidRPr="00C24606" w:rsidR="00044C4B">
        <w:rPr>
          <w:rFonts w:asciiTheme="minorHAnsi" w:hAnsiTheme="minorHAnsi" w:cstheme="minorHAnsi"/>
        </w:rPr>
        <w:t>2017 vládě pro informaci pod čj. 379/17.</w:t>
      </w:r>
      <w:r w:rsidRPr="00C24606">
        <w:rPr>
          <w:rFonts w:asciiTheme="minorHAnsi" w:hAnsiTheme="minorHAnsi" w:cstheme="minorHAnsi"/>
        </w:rPr>
        <w:t xml:space="preserve"> </w:t>
      </w:r>
      <w:r w:rsidR="00792C9A">
        <w:rPr>
          <w:rFonts w:asciiTheme="minorHAnsi" w:hAnsiTheme="minorHAnsi" w:cstheme="minorHAnsi"/>
        </w:rPr>
        <w:t xml:space="preserve">Poradou vedení </w:t>
      </w:r>
      <w:r w:rsidR="008C6210">
        <w:rPr>
          <w:rFonts w:asciiTheme="minorHAnsi" w:hAnsiTheme="minorHAnsi" w:cstheme="minorHAnsi"/>
        </w:rPr>
        <w:t>MZD</w:t>
      </w:r>
      <w:r w:rsidR="00792C9A">
        <w:rPr>
          <w:rFonts w:asciiTheme="minorHAnsi" w:hAnsiTheme="minorHAnsi" w:cstheme="minorHAnsi"/>
        </w:rPr>
        <w:t xml:space="preserve"> </w:t>
      </w:r>
      <w:r w:rsidR="008548DF">
        <w:rPr>
          <w:rFonts w:asciiTheme="minorHAnsi" w:hAnsiTheme="minorHAnsi" w:cstheme="minorHAnsi"/>
        </w:rPr>
        <w:t xml:space="preserve">byl </w:t>
      </w:r>
      <w:r w:rsidR="007417E7">
        <w:rPr>
          <w:rFonts w:asciiTheme="minorHAnsi" w:hAnsiTheme="minorHAnsi" w:cstheme="minorHAnsi"/>
        </w:rPr>
        <w:t>6.</w:t>
      </w:r>
      <w:r w:rsidR="00633D86">
        <w:rPr>
          <w:rFonts w:asciiTheme="minorHAnsi" w:hAnsiTheme="minorHAnsi" w:cstheme="minorHAnsi"/>
        </w:rPr>
        <w:t> prosinc</w:t>
      </w:r>
      <w:r w:rsidR="007417E7">
        <w:rPr>
          <w:rFonts w:asciiTheme="minorHAnsi" w:hAnsiTheme="minorHAnsi" w:cstheme="minorHAnsi"/>
        </w:rPr>
        <w:t>e</w:t>
      </w:r>
      <w:r w:rsidR="00633D86">
        <w:rPr>
          <w:rFonts w:asciiTheme="minorHAnsi" w:hAnsiTheme="minorHAnsi" w:cstheme="minorHAnsi"/>
        </w:rPr>
        <w:t xml:space="preserve"> 2024 schválen </w:t>
      </w:r>
      <w:r w:rsidRPr="00633D86" w:rsidR="00633D86">
        <w:rPr>
          <w:rFonts w:asciiTheme="minorHAnsi" w:hAnsiTheme="minorHAnsi" w:cstheme="minorHAnsi"/>
        </w:rPr>
        <w:t>Návrh na aktualizaci Národní strategie elektronického zdravotnictví pro období do roku 2035</w:t>
      </w:r>
      <w:r w:rsidR="000B3E9D">
        <w:rPr>
          <w:rFonts w:asciiTheme="minorHAnsi" w:hAnsiTheme="minorHAnsi" w:cstheme="minorHAnsi"/>
        </w:rPr>
        <w:t xml:space="preserve"> a v lednu 2025 </w:t>
      </w:r>
      <w:r w:rsidR="00931D14">
        <w:rPr>
          <w:rFonts w:asciiTheme="minorHAnsi" w:hAnsiTheme="minorHAnsi" w:cstheme="minorHAnsi"/>
        </w:rPr>
        <w:t>další postup</w:t>
      </w:r>
      <w:r w:rsidR="00F2477C">
        <w:rPr>
          <w:rFonts w:asciiTheme="minorHAnsi" w:hAnsiTheme="minorHAnsi" w:cstheme="minorHAnsi"/>
        </w:rPr>
        <w:t xml:space="preserve"> aktualizace včetně harmonogramu</w:t>
      </w:r>
      <w:r w:rsidR="00296AAF">
        <w:rPr>
          <w:rFonts w:asciiTheme="minorHAnsi" w:hAnsiTheme="minorHAnsi" w:cstheme="minorHAnsi"/>
        </w:rPr>
        <w:t xml:space="preserve">. </w:t>
      </w:r>
      <w:r w:rsidRPr="00296AAF" w:rsidR="00296AAF">
        <w:rPr>
          <w:rFonts w:asciiTheme="minorHAnsi" w:hAnsiTheme="minorHAnsi" w:cstheme="minorHAnsi"/>
        </w:rPr>
        <w:t>Jedním z klíčových cílů novelizace strategie je dosažení vyšší míry konzistence mezi Národní strategií elektronického zdravotnictví, jejími prováděcími dokumenty a</w:t>
      </w:r>
      <w:r w:rsidR="00576C44">
        <w:rPr>
          <w:rFonts w:asciiTheme="minorHAnsi" w:hAnsiTheme="minorHAnsi" w:cstheme="minorHAnsi"/>
        </w:rPr>
        <w:t> </w:t>
      </w:r>
      <w:r w:rsidRPr="00296AAF" w:rsidR="00296AAF">
        <w:rPr>
          <w:rFonts w:asciiTheme="minorHAnsi" w:hAnsiTheme="minorHAnsi" w:cstheme="minorHAnsi"/>
        </w:rPr>
        <w:t>souvisejícími dokumenty Strategie Zdraví 2030</w:t>
      </w:r>
      <w:r w:rsidR="00296AAF">
        <w:rPr>
          <w:rFonts w:asciiTheme="minorHAnsi" w:hAnsiTheme="minorHAnsi" w:cstheme="minorHAnsi"/>
        </w:rPr>
        <w:t xml:space="preserve"> (resp. 2035)</w:t>
      </w:r>
      <w:r w:rsidRPr="00296AAF" w:rsidR="00296AAF">
        <w:rPr>
          <w:rFonts w:asciiTheme="minorHAnsi" w:hAnsiTheme="minorHAnsi" w:cstheme="minorHAnsi"/>
        </w:rPr>
        <w:t>. V současné době existují tři samostatné strategické dokumenty</w:t>
      </w:r>
      <w:r w:rsidR="008435DE">
        <w:rPr>
          <w:rFonts w:asciiTheme="minorHAnsi" w:hAnsiTheme="minorHAnsi" w:cstheme="minorHAnsi"/>
        </w:rPr>
        <w:t xml:space="preserve"> zabývající se digitalizací zdravotnictví</w:t>
      </w:r>
      <w:r w:rsidRPr="00296AAF" w:rsidR="00296AAF">
        <w:rPr>
          <w:rFonts w:asciiTheme="minorHAnsi" w:hAnsiTheme="minorHAnsi" w:cstheme="minorHAnsi"/>
        </w:rPr>
        <w:t xml:space="preserve">, které jsou vzájemně propojené pouze částečně, přičemž některé jejich části se </w:t>
      </w:r>
      <w:r w:rsidRPr="00296AAF" w:rsidR="00074CCE">
        <w:rPr>
          <w:rFonts w:asciiTheme="minorHAnsi" w:hAnsiTheme="minorHAnsi" w:cstheme="minorHAnsi"/>
        </w:rPr>
        <w:t>překrývají</w:t>
      </w:r>
      <w:r w:rsidRPr="00296AAF" w:rsidR="00296AAF">
        <w:rPr>
          <w:rFonts w:asciiTheme="minorHAnsi" w:hAnsiTheme="minorHAnsi" w:cstheme="minorHAnsi"/>
        </w:rPr>
        <w:t xml:space="preserve"> nebo obsahují duplicity. Tento stav vede k určité nejednoznačnosti a snižuje účinnost implementace strategi</w:t>
      </w:r>
      <w:r w:rsidR="00EB3FE5">
        <w:rPr>
          <w:rFonts w:asciiTheme="minorHAnsi" w:hAnsiTheme="minorHAnsi" w:cstheme="minorHAnsi"/>
        </w:rPr>
        <w:t>í</w:t>
      </w:r>
      <w:r w:rsidRPr="00296AAF" w:rsidR="00296AAF">
        <w:rPr>
          <w:rFonts w:asciiTheme="minorHAnsi" w:hAnsiTheme="minorHAnsi" w:cstheme="minorHAnsi"/>
        </w:rPr>
        <w:t xml:space="preserve">. </w:t>
      </w:r>
      <w:r w:rsidR="002B1E85">
        <w:rPr>
          <w:rFonts w:asciiTheme="minorHAnsi" w:hAnsiTheme="minorHAnsi" w:cstheme="minorHAnsi"/>
        </w:rPr>
        <w:t>C</w:t>
      </w:r>
      <w:r w:rsidRPr="00296AAF" w:rsidR="00296AAF">
        <w:rPr>
          <w:rFonts w:asciiTheme="minorHAnsi" w:hAnsiTheme="minorHAnsi" w:cstheme="minorHAnsi"/>
        </w:rPr>
        <w:t xml:space="preserve">ílem novelizace je proto provázat tyto dokumenty do jednoho komplexního strategického rámce. Tímto sjednocením dojde ke zjednodušení procesů, odstranění duplicit a vytvoření konzistentního a uceleného přístupu, </w:t>
      </w:r>
      <w:r w:rsidRPr="00296AAF" w:rsidR="00010DCF">
        <w:rPr>
          <w:rFonts w:asciiTheme="minorHAnsi" w:hAnsiTheme="minorHAnsi" w:cstheme="minorHAnsi"/>
        </w:rPr>
        <w:t>který</w:t>
      </w:r>
      <w:r w:rsidRPr="00296AAF" w:rsidR="00296AAF">
        <w:rPr>
          <w:rFonts w:asciiTheme="minorHAnsi" w:hAnsiTheme="minorHAnsi" w:cstheme="minorHAnsi"/>
        </w:rPr>
        <w:t xml:space="preserve">́ umožní efektivnější dosažení </w:t>
      </w:r>
      <w:r w:rsidRPr="00296AAF" w:rsidR="00074CCE">
        <w:rPr>
          <w:rFonts w:asciiTheme="minorHAnsi" w:hAnsiTheme="minorHAnsi" w:cstheme="minorHAnsi"/>
        </w:rPr>
        <w:t>stanovených</w:t>
      </w:r>
      <w:r w:rsidRPr="00296AAF" w:rsidR="00296AAF">
        <w:rPr>
          <w:rFonts w:asciiTheme="minorHAnsi" w:hAnsiTheme="minorHAnsi" w:cstheme="minorHAnsi"/>
        </w:rPr>
        <w:t xml:space="preserve"> cílů v oblasti elektronizace zdravotnictví.</w:t>
      </w:r>
      <w:r w:rsidR="004F2339">
        <w:rPr>
          <w:rFonts w:asciiTheme="minorHAnsi" w:hAnsiTheme="minorHAnsi" w:cstheme="minorHAnsi"/>
        </w:rPr>
        <w:t xml:space="preserve"> N</w:t>
      </w:r>
      <w:r w:rsidRPr="004F2339" w:rsidR="004F2339">
        <w:rPr>
          <w:rFonts w:asciiTheme="minorHAnsi" w:hAnsiTheme="minorHAnsi" w:cstheme="minorHAnsi"/>
        </w:rPr>
        <w:t xml:space="preserve">ávrh realizace novelizace Národní strategie elektronického zdravotnictví </w:t>
      </w:r>
      <w:r w:rsidR="004F2339">
        <w:rPr>
          <w:rFonts w:asciiTheme="minorHAnsi" w:hAnsiTheme="minorHAnsi" w:cstheme="minorHAnsi"/>
        </w:rPr>
        <w:t>má</w:t>
      </w:r>
      <w:r w:rsidRPr="004F2339" w:rsidR="004F2339">
        <w:rPr>
          <w:rFonts w:asciiTheme="minorHAnsi" w:hAnsiTheme="minorHAnsi" w:cstheme="minorHAnsi"/>
        </w:rPr>
        <w:t xml:space="preserve"> </w:t>
      </w:r>
      <w:r w:rsidR="004F2339">
        <w:rPr>
          <w:rFonts w:asciiTheme="minorHAnsi" w:hAnsiTheme="minorHAnsi" w:cstheme="minorHAnsi"/>
        </w:rPr>
        <w:t xml:space="preserve">být </w:t>
      </w:r>
      <w:r w:rsidRPr="004F2339" w:rsidR="004F2339">
        <w:rPr>
          <w:rFonts w:asciiTheme="minorHAnsi" w:hAnsiTheme="minorHAnsi" w:cstheme="minorHAnsi"/>
        </w:rPr>
        <w:t>předlož</w:t>
      </w:r>
      <w:r w:rsidR="004F2339">
        <w:rPr>
          <w:rFonts w:asciiTheme="minorHAnsi" w:hAnsiTheme="minorHAnsi" w:cstheme="minorHAnsi"/>
        </w:rPr>
        <w:t>en</w:t>
      </w:r>
      <w:r w:rsidRPr="004F2339" w:rsidR="004F2339">
        <w:rPr>
          <w:rFonts w:asciiTheme="minorHAnsi" w:hAnsiTheme="minorHAnsi" w:cstheme="minorHAnsi"/>
        </w:rPr>
        <w:t xml:space="preserve"> poradě vedení</w:t>
      </w:r>
      <w:r w:rsidR="004F2339">
        <w:rPr>
          <w:rFonts w:asciiTheme="minorHAnsi" w:hAnsiTheme="minorHAnsi" w:cstheme="minorHAnsi"/>
        </w:rPr>
        <w:t xml:space="preserve"> </w:t>
      </w:r>
      <w:r w:rsidR="00972DEF">
        <w:rPr>
          <w:rFonts w:asciiTheme="minorHAnsi" w:hAnsiTheme="minorHAnsi" w:cstheme="minorHAnsi"/>
        </w:rPr>
        <w:t xml:space="preserve">30. září 2025 a má </w:t>
      </w:r>
      <w:r w:rsidR="006D2633">
        <w:rPr>
          <w:rFonts w:asciiTheme="minorHAnsi" w:hAnsiTheme="minorHAnsi" w:cstheme="minorHAnsi"/>
        </w:rPr>
        <w:t>být doprovázen i</w:t>
      </w:r>
      <w:r w:rsidR="00576C44">
        <w:rPr>
          <w:rFonts w:asciiTheme="minorHAnsi" w:hAnsiTheme="minorHAnsi" w:cstheme="minorHAnsi"/>
        </w:rPr>
        <w:t> </w:t>
      </w:r>
      <w:r w:rsidR="006D2633">
        <w:rPr>
          <w:rFonts w:asciiTheme="minorHAnsi" w:hAnsiTheme="minorHAnsi" w:cstheme="minorHAnsi"/>
        </w:rPr>
        <w:t xml:space="preserve">souvisejícími návrhy na další </w:t>
      </w:r>
      <w:r w:rsidR="00333D21">
        <w:rPr>
          <w:rFonts w:asciiTheme="minorHAnsi" w:hAnsiTheme="minorHAnsi" w:cstheme="minorHAnsi"/>
        </w:rPr>
        <w:t>úpravy příslušných částí Zdraví 2035</w:t>
      </w:r>
      <w:r w:rsidR="005F08E8">
        <w:rPr>
          <w:rFonts w:asciiTheme="minorHAnsi" w:hAnsiTheme="minorHAnsi" w:cstheme="minorHAnsi"/>
        </w:rPr>
        <w:t>, resp. implementačního plánu 2.3</w:t>
      </w:r>
      <w:r w:rsidR="00333D21">
        <w:rPr>
          <w:rFonts w:asciiTheme="minorHAnsi" w:hAnsiTheme="minorHAnsi" w:cstheme="minorHAnsi"/>
        </w:rPr>
        <w:t>.</w:t>
      </w:r>
      <w:r w:rsidR="00972DEF">
        <w:rPr>
          <w:rFonts w:asciiTheme="minorHAnsi" w:hAnsiTheme="minorHAnsi" w:cstheme="minorHAnsi"/>
        </w:rPr>
        <w:t xml:space="preserve"> </w:t>
      </w:r>
    </w:p>
    <w:p w:rsidR="00FA4663" w:rsidRPr="00C24606" w:rsidP="00576C44" w14:paraId="57669F89" w14:textId="7DE6E12B">
      <w:pPr>
        <w:pStyle w:val="Bntext"/>
        <w:spacing w:line="240" w:lineRule="auto"/>
        <w:ind w:firstLine="0"/>
        <w:rPr>
          <w:rFonts w:asciiTheme="minorHAnsi" w:hAnsiTheme="minorHAnsi" w:cstheme="minorHAnsi"/>
        </w:rPr>
      </w:pPr>
      <w:r w:rsidRPr="00C24606">
        <w:rPr>
          <w:rFonts w:asciiTheme="minorHAnsi" w:hAnsiTheme="minorHAnsi" w:cstheme="minorHAnsi"/>
          <w:color w:val="auto"/>
          <w:sz w:val="24"/>
          <w:lang w:val="cs-CZ"/>
        </w:rPr>
        <w:t>Veškeré aktivity a opatření v rámci specifického cíle</w:t>
      </w:r>
      <w:r w:rsidR="00D458C7">
        <w:rPr>
          <w:rFonts w:asciiTheme="minorHAnsi" w:hAnsiTheme="minorHAnsi" w:cstheme="minorHAnsi"/>
          <w:color w:val="auto"/>
          <w:sz w:val="24"/>
          <w:lang w:val="cs-CZ"/>
        </w:rPr>
        <w:t xml:space="preserve"> 2.3</w:t>
      </w:r>
      <w:r w:rsidRPr="00C24606">
        <w:rPr>
          <w:rFonts w:asciiTheme="minorHAnsi" w:hAnsiTheme="minorHAnsi" w:cstheme="minorHAnsi"/>
          <w:color w:val="auto"/>
          <w:sz w:val="24"/>
          <w:lang w:val="cs-CZ"/>
        </w:rPr>
        <w:t xml:space="preserve"> Digitalizace zdravotnictví budou probíhat s ohledem na etické principy, přičemž bude brán v potaz aspekt ochrany lidských práv</w:t>
      </w:r>
      <w:r w:rsidRPr="00C24606" w:rsidR="007B5ED4">
        <w:rPr>
          <w:rFonts w:asciiTheme="minorHAnsi" w:hAnsiTheme="minorHAnsi" w:cstheme="minorHAnsi"/>
          <w:color w:val="auto"/>
          <w:sz w:val="24"/>
          <w:lang w:val="cs-CZ"/>
        </w:rPr>
        <w:t xml:space="preserve">. </w:t>
      </w:r>
    </w:p>
    <w:p w:rsidR="00FA4663" w:rsidRPr="00C24606" w:rsidP="00C709C0" w14:paraId="265A0162" w14:textId="5F2A6327">
      <w:pPr>
        <w:jc w:val="both"/>
        <w:rPr>
          <w:rFonts w:asciiTheme="minorHAnsi" w:hAnsiTheme="minorHAnsi" w:cstheme="minorHAnsi"/>
        </w:rPr>
      </w:pPr>
      <w:r w:rsidRPr="00C24606">
        <w:rPr>
          <w:rFonts w:asciiTheme="minorHAnsi" w:hAnsiTheme="minorHAnsi" w:cstheme="minorHAnsi"/>
        </w:rPr>
        <w:t xml:space="preserve">Pro období po roce 2020 </w:t>
      </w:r>
      <w:r w:rsidR="00655B6A">
        <w:rPr>
          <w:rFonts w:asciiTheme="minorHAnsi" w:hAnsiTheme="minorHAnsi" w:cstheme="minorHAnsi"/>
        </w:rPr>
        <w:t>j</w:t>
      </w:r>
      <w:r w:rsidRPr="00C24606" w:rsidR="00655B6A">
        <w:rPr>
          <w:rFonts w:asciiTheme="minorHAnsi" w:hAnsiTheme="minorHAnsi" w:cstheme="minorHAnsi"/>
        </w:rPr>
        <w:t xml:space="preserve">e </w:t>
      </w:r>
      <w:r w:rsidRPr="00C24606">
        <w:rPr>
          <w:rFonts w:asciiTheme="minorHAnsi" w:hAnsiTheme="minorHAnsi" w:cstheme="minorHAnsi"/>
        </w:rPr>
        <w:t>charakteristický nástup nových digitálních technologií a postupů v oblasti personalizované medicíny, klinických aplikací umělé inteligence, praktických aplikací modelů sdílených zdravotních záznamů. Rostoucí měrou se do péče o zdraví zapojí technologie mobilního zdravotnictví (mHealth) a telemedicína. Klíčový význam ponese digitalizace při rozvoji zdravotní gramotnosti obyvatelstva, do rozvoje digitální gramotnosti pracovníků ve zdravotnictví a budování důvěry ve služby digitálního zdravotnictví mezi občany i zdravotníky. Digitální technologie usnadní dosažení strategických záměrů v</w:t>
      </w:r>
      <w:r w:rsidR="00576C44">
        <w:rPr>
          <w:rFonts w:asciiTheme="minorHAnsi" w:hAnsiTheme="minorHAnsi" w:cstheme="minorHAnsi"/>
        </w:rPr>
        <w:t> </w:t>
      </w:r>
      <w:r w:rsidRPr="00C24606">
        <w:rPr>
          <w:rFonts w:asciiTheme="minorHAnsi" w:hAnsiTheme="minorHAnsi" w:cstheme="minorHAnsi"/>
        </w:rPr>
        <w:t>oblasti veřejného zdraví. Inovativní digitální řešení napomůžou podpoře zdraví a kvality života občanů a</w:t>
      </w:r>
      <w:r w:rsidR="00576C44">
        <w:rPr>
          <w:rFonts w:asciiTheme="minorHAnsi" w:hAnsiTheme="minorHAnsi" w:cstheme="minorHAnsi"/>
        </w:rPr>
        <w:t> </w:t>
      </w:r>
      <w:r w:rsidRPr="00C24606">
        <w:rPr>
          <w:rFonts w:asciiTheme="minorHAnsi" w:hAnsiTheme="minorHAnsi" w:cstheme="minorHAnsi"/>
        </w:rPr>
        <w:t xml:space="preserve">umožní účinnější způsoby organizace a poskytování zdravotních a sociálních služeb. Digitalizace zdravotnictví bude více sloužit k podpoře reformy zdravotních služeb a přístupu k nim, digitální technologie posílí možnosti jednotlivců pečovat o vlastní zdraví a zároveň podpoří celkovou efektivnost zdravotního systému. Účelná digitalizace usnadní přesun od léčby k prevenci.  </w:t>
      </w:r>
    </w:p>
    <w:p w:rsidR="006D0249" w:rsidRPr="00C24606" w:rsidP="00C709C0" w14:paraId="38D24095" w14:textId="77777777">
      <w:pPr>
        <w:spacing w:before="120" w:after="120"/>
        <w:jc w:val="both"/>
        <w:rPr>
          <w:rFonts w:asciiTheme="minorHAnsi" w:hAnsiTheme="minorHAnsi" w:cstheme="minorHAnsi"/>
        </w:rPr>
      </w:pPr>
      <w:r w:rsidRPr="00C24606">
        <w:rPr>
          <w:rFonts w:asciiTheme="minorHAnsi" w:hAnsiTheme="minorHAnsi" w:cstheme="minorHAnsi"/>
        </w:rPr>
        <w:t xml:space="preserve">Pro dosažení vysoce kvalitní zdravotní péče a snížení nerovností v přístupu k péči o zdraví se neobejdeme bez využití potenciálu digitalizace zdravotnictví. Je stále jasnější, že výměna údajů může přispět ke zvýšení kvality péče. Velká část skutečně existující digitální infrastruktury v systému zdravotní péče však není nebo je pouze v omezené míře vhodná pro výměnu dat mimo konkrétní organizaci.  </w:t>
      </w:r>
    </w:p>
    <w:p w:rsidR="00102A33" w:rsidRPr="00C24606" w:rsidP="00C709C0" w14:paraId="750463ED" w14:textId="4380068D">
      <w:pPr>
        <w:spacing w:before="120" w:after="120"/>
        <w:jc w:val="both"/>
        <w:rPr>
          <w:rFonts w:asciiTheme="minorHAnsi" w:hAnsiTheme="minorHAnsi" w:cstheme="minorHAnsi"/>
        </w:rPr>
      </w:pPr>
      <w:r w:rsidRPr="00C24606">
        <w:rPr>
          <w:rFonts w:asciiTheme="minorHAnsi" w:hAnsiTheme="minorHAnsi" w:cstheme="minorHAnsi"/>
        </w:rPr>
        <w:t>V evropské</w:t>
      </w:r>
      <w:r w:rsidRPr="00C24606" w:rsidR="00562B17">
        <w:rPr>
          <w:rFonts w:asciiTheme="minorHAnsi" w:hAnsiTheme="minorHAnsi" w:cstheme="minorHAnsi"/>
        </w:rPr>
        <w:t>m</w:t>
      </w:r>
      <w:r w:rsidRPr="00C24606">
        <w:rPr>
          <w:rFonts w:asciiTheme="minorHAnsi" w:hAnsiTheme="minorHAnsi" w:cstheme="minorHAnsi"/>
        </w:rPr>
        <w:t xml:space="preserve"> kontextu bylo vydáno </w:t>
      </w:r>
      <w:r w:rsidRPr="00C24606" w:rsidR="00B61AC2">
        <w:rPr>
          <w:rFonts w:asciiTheme="minorHAnsi" w:hAnsiTheme="minorHAnsi" w:cstheme="minorHAnsi"/>
        </w:rPr>
        <w:t>Sdělen</w:t>
      </w:r>
      <w:r w:rsidRPr="00C24606">
        <w:rPr>
          <w:rFonts w:asciiTheme="minorHAnsi" w:hAnsiTheme="minorHAnsi" w:cstheme="minorHAnsi"/>
        </w:rPr>
        <w:t xml:space="preserve">í </w:t>
      </w:r>
      <w:r w:rsidRPr="00C24606" w:rsidR="00B61AC2">
        <w:rPr>
          <w:rFonts w:asciiTheme="minorHAnsi" w:hAnsiTheme="minorHAnsi" w:cstheme="minorHAnsi"/>
        </w:rPr>
        <w:t>Komise Evropskému parlamentu, Radě, Evropskému hospodářskému a sociálnímu výboru a Výboru regionů o usnadnění digitální transformace v oblasti zdravotnictví a péče na jednotném digitálním trhu; posílení postavení občanů a budování zdravější společnosti COM(2018) 233 final ze dne 25.4.2018</w:t>
      </w:r>
      <w:r w:rsidRPr="00C24606">
        <w:rPr>
          <w:rFonts w:asciiTheme="minorHAnsi" w:hAnsiTheme="minorHAnsi" w:cstheme="minorHAnsi"/>
        </w:rPr>
        <w:t>, které svým obsahem</w:t>
      </w:r>
      <w:r w:rsidRPr="00C24606" w:rsidR="00B61AC2">
        <w:rPr>
          <w:rFonts w:asciiTheme="minorHAnsi" w:hAnsiTheme="minorHAnsi" w:cstheme="minorHAnsi"/>
        </w:rPr>
        <w:t xml:space="preserve"> usiluje nejen o zajištění vhodného řízení infrastruktury a jejího finančního zabezpečení, ale i o zlepšení interoperability údajů o pacientech a přístupu občanů k informacím. </w:t>
      </w:r>
      <w:r w:rsidR="00E81086">
        <w:rPr>
          <w:rFonts w:asciiTheme="minorHAnsi" w:hAnsiTheme="minorHAnsi" w:cstheme="minorHAnsi"/>
        </w:rPr>
        <w:t>V</w:t>
      </w:r>
      <w:r w:rsidR="00677F1F">
        <w:rPr>
          <w:rFonts w:asciiTheme="minorHAnsi" w:hAnsiTheme="minorHAnsi" w:cstheme="minorHAnsi"/>
        </w:rPr>
        <w:t xml:space="preserve"> červnu 2019 </w:t>
      </w:r>
      <w:r w:rsidRPr="00E81086" w:rsidR="00E81086">
        <w:rPr>
          <w:rFonts w:asciiTheme="minorHAnsi" w:hAnsiTheme="minorHAnsi" w:cstheme="minorHAnsi"/>
        </w:rPr>
        <w:t>byly na 15. zasedání sítě eHealth</w:t>
      </w:r>
      <w:r w:rsidR="00E81086">
        <w:rPr>
          <w:rFonts w:asciiTheme="minorHAnsi" w:hAnsiTheme="minorHAnsi" w:cstheme="minorHAnsi"/>
        </w:rPr>
        <w:t xml:space="preserve"> </w:t>
      </w:r>
      <w:r w:rsidRPr="00E81086" w:rsidR="00E81086">
        <w:rPr>
          <w:rFonts w:asciiTheme="minorHAnsi" w:hAnsiTheme="minorHAnsi" w:cstheme="minorHAnsi"/>
        </w:rPr>
        <w:t>v Bukurešti</w:t>
      </w:r>
      <w:r w:rsidR="00677F1F">
        <w:rPr>
          <w:rFonts w:asciiTheme="minorHAnsi" w:hAnsiTheme="minorHAnsi" w:cstheme="minorHAnsi"/>
        </w:rPr>
        <w:t xml:space="preserve"> </w:t>
      </w:r>
      <w:r w:rsidRPr="00E81086" w:rsidR="00D458C7">
        <w:rPr>
          <w:rFonts w:asciiTheme="minorHAnsi" w:hAnsiTheme="minorHAnsi" w:cstheme="minorHAnsi"/>
        </w:rPr>
        <w:t>přijaty</w:t>
      </w:r>
      <w:r w:rsidRPr="00677F1F" w:rsidR="00D458C7">
        <w:rPr>
          <w:rFonts w:asciiTheme="minorHAnsi" w:hAnsiTheme="minorHAnsi" w:cstheme="minorHAnsi"/>
        </w:rPr>
        <w:t xml:space="preserve"> </w:t>
      </w:r>
      <w:r w:rsidRPr="00677F1F" w:rsidR="00677F1F">
        <w:rPr>
          <w:rFonts w:asciiTheme="minorHAnsi" w:hAnsiTheme="minorHAnsi" w:cstheme="minorHAnsi"/>
        </w:rPr>
        <w:t>Investiční pokyny členským státům EU a Evropské komisi o interoperabilním ekosystému pro digitální zdravotnictví a</w:t>
      </w:r>
      <w:r w:rsidR="00576C44">
        <w:rPr>
          <w:rFonts w:asciiTheme="minorHAnsi" w:hAnsiTheme="minorHAnsi" w:cstheme="minorHAnsi"/>
        </w:rPr>
        <w:t> </w:t>
      </w:r>
      <w:r w:rsidRPr="00677F1F" w:rsidR="00677F1F">
        <w:rPr>
          <w:rFonts w:asciiTheme="minorHAnsi" w:hAnsiTheme="minorHAnsi" w:cstheme="minorHAnsi"/>
        </w:rPr>
        <w:t>investičních programech pro novou / aktualizovanou generaci digitální infrastruktury v Evropě (Investment guidelines to the EU Member States and the European Commission on an interoperable eco-system for digital health and investment programmes for a new/updated generation of digital infrastructure in Europe).</w:t>
      </w:r>
    </w:p>
    <w:p w:rsidR="00707807" w:rsidP="00C709C0" w14:paraId="4440DE23" w14:textId="3AD386A2">
      <w:pPr>
        <w:jc w:val="both"/>
        <w:rPr>
          <w:rFonts w:asciiTheme="minorHAnsi" w:hAnsiTheme="minorHAnsi" w:cstheme="minorHAnsi"/>
        </w:rPr>
      </w:pPr>
      <w:r w:rsidRPr="00C24606">
        <w:rPr>
          <w:rFonts w:asciiTheme="minorHAnsi" w:hAnsiTheme="minorHAnsi" w:cstheme="minorHAnsi"/>
        </w:rPr>
        <w:t>V květnu 2018 přijalo 71.  Světové zdravotnické shromáždění rezoluci WHA 71.7 o digitálním zdravotnictví</w:t>
      </w:r>
      <w:r w:rsidRPr="00C24606" w:rsidR="00562B17">
        <w:rPr>
          <w:rFonts w:asciiTheme="minorHAnsi" w:hAnsiTheme="minorHAnsi" w:cstheme="minorHAnsi"/>
        </w:rPr>
        <w:t>. N</w:t>
      </w:r>
      <w:r w:rsidRPr="00C24606" w:rsidR="00304993">
        <w:rPr>
          <w:rFonts w:asciiTheme="minorHAnsi" w:hAnsiTheme="minorHAnsi" w:cstheme="minorHAnsi"/>
        </w:rPr>
        <w:t xml:space="preserve">ásledně byl vytvořen </w:t>
      </w:r>
      <w:r w:rsidRPr="00C24606">
        <w:rPr>
          <w:rFonts w:asciiTheme="minorHAnsi" w:hAnsiTheme="minorHAnsi" w:cstheme="minorHAnsi"/>
        </w:rPr>
        <w:t>návrh Globální strategie k digitálnímu zdravotnictví. Účelem návrhu globální strategie v oblasti digitálního zdravotnictví (dále „Strategie“) je podporovat a reagovat na rostoucí potřeby členských zemí zavádět vhodné digitální technologie k plnění jejich priorit v oblasti zdravotnictví a k pokroku v cestě k</w:t>
      </w:r>
      <w:r w:rsidR="00576C44">
        <w:rPr>
          <w:rFonts w:asciiTheme="minorHAnsi" w:hAnsiTheme="minorHAnsi" w:cstheme="minorHAnsi"/>
        </w:rPr>
        <w:t> </w:t>
      </w:r>
      <w:r w:rsidRPr="00C24606">
        <w:rPr>
          <w:rFonts w:asciiTheme="minorHAnsi" w:hAnsiTheme="minorHAnsi" w:cstheme="minorHAnsi"/>
        </w:rPr>
        <w:t xml:space="preserve">univerzálnímu zdravotnímu pokrytí a udržitelnému rozvoji souvisejícím se zdravím. Návrh Strategie stanoví vizi, poslání, strategické cíle a akční rámec pro rozvoj digitálních technologií v oblasti zdravotnictví. Cílem Strategie je podpořit mezinárodní spolupráci a podpořit členské země v jejich národních programech digitálního zdravotnictví, podpořit výzkum, zdokonalit sdílení informací, ale i osvědčených postupů v oblasti digitálního zdravotnictví. Očekává se, že </w:t>
      </w:r>
      <w:r w:rsidR="003A19C5">
        <w:rPr>
          <w:rFonts w:asciiTheme="minorHAnsi" w:hAnsiTheme="minorHAnsi" w:cstheme="minorHAnsi"/>
        </w:rPr>
        <w:t xml:space="preserve">tato </w:t>
      </w:r>
      <w:r w:rsidRPr="00C24606">
        <w:rPr>
          <w:rFonts w:asciiTheme="minorHAnsi" w:hAnsiTheme="minorHAnsi" w:cstheme="minorHAnsi"/>
        </w:rPr>
        <w:t xml:space="preserve">Strategie povede ke konkrétním opatřením v rámci pětiletého časového rámce – od roku 2020 do roku 2024. </w:t>
      </w:r>
    </w:p>
    <w:p w:rsidR="00576C44" w:rsidP="00C709C0" w14:paraId="3BFC898A" w14:textId="77777777">
      <w:pPr>
        <w:jc w:val="both"/>
        <w:rPr>
          <w:rFonts w:asciiTheme="minorHAnsi" w:hAnsiTheme="minorHAnsi" w:cstheme="minorHAnsi"/>
        </w:rPr>
      </w:pPr>
    </w:p>
    <w:p w:rsidR="00F62720" w:rsidP="00C709C0" w14:paraId="62E8816D" w14:textId="18EB6A5E">
      <w:pPr>
        <w:jc w:val="both"/>
        <w:rPr>
          <w:rFonts w:asciiTheme="minorHAnsi" w:hAnsiTheme="minorHAnsi" w:cstheme="minorHAnsi"/>
        </w:rPr>
      </w:pPr>
      <w:r w:rsidRPr="00F62720">
        <w:rPr>
          <w:rFonts w:asciiTheme="minorHAnsi" w:hAnsiTheme="minorHAnsi" w:cstheme="minorHAnsi"/>
        </w:rPr>
        <w:t xml:space="preserve">Dne 8. dubna 2020 přijala </w:t>
      </w:r>
      <w:r w:rsidR="00D458C7">
        <w:rPr>
          <w:rFonts w:asciiTheme="minorHAnsi" w:hAnsiTheme="minorHAnsi" w:cstheme="minorHAnsi"/>
        </w:rPr>
        <w:t>Evropská k</w:t>
      </w:r>
      <w:r w:rsidRPr="00F62720">
        <w:rPr>
          <w:rFonts w:asciiTheme="minorHAnsi" w:hAnsiTheme="minorHAnsi" w:cstheme="minorHAnsi"/>
        </w:rPr>
        <w:t>omise doporučení "Recommendation on a common Union toolbox for the use of technology and data to combat and exit from the COVID-19 crisis, in particular concerning mobile applications and the use of anonymised mobility data"</w:t>
      </w:r>
      <w:r>
        <w:rPr>
          <w:rFonts w:asciiTheme="minorHAnsi" w:hAnsiTheme="minorHAnsi" w:cstheme="minorHAnsi"/>
        </w:rPr>
        <w:t>, které</w:t>
      </w:r>
      <w:r w:rsidRPr="00F62720">
        <w:rPr>
          <w:rFonts w:asciiTheme="minorHAnsi" w:hAnsiTheme="minorHAnsi" w:cstheme="minorHAnsi"/>
        </w:rPr>
        <w:t xml:space="preserve"> stanoví v rámci boje proti COVID-19 postup směřující k přijetí souboru nástrojů pro společný přístup k používání mobilních aplikací pro trasování </w:t>
      </w:r>
      <w:r w:rsidRPr="00F62720">
        <w:rPr>
          <w:rFonts w:asciiTheme="minorHAnsi" w:hAnsiTheme="minorHAnsi" w:cstheme="minorHAnsi"/>
        </w:rPr>
        <w:t xml:space="preserve">kontaktů a společný přístup k používání anonymizovaných a agregovaných mobilních dat o poloze. Doporučení stanoví </w:t>
      </w:r>
      <w:r>
        <w:rPr>
          <w:rFonts w:asciiTheme="minorHAnsi" w:hAnsiTheme="minorHAnsi" w:cstheme="minorHAnsi"/>
        </w:rPr>
        <w:t xml:space="preserve">zejména </w:t>
      </w:r>
      <w:r w:rsidRPr="00F62720">
        <w:rPr>
          <w:rFonts w:asciiTheme="minorHAnsi" w:hAnsiTheme="minorHAnsi" w:cstheme="minorHAnsi"/>
        </w:rPr>
        <w:t>klíčové zásady pro používání aplikací a údajů pro sledování a varování kontaktů, pokud jde o bezpečnost údajů a dodržování základních práv EU, jako je ochrana soukromí a údajů.</w:t>
      </w:r>
      <w:r>
        <w:rPr>
          <w:rFonts w:asciiTheme="minorHAnsi" w:hAnsiTheme="minorHAnsi" w:cstheme="minorHAnsi"/>
        </w:rPr>
        <w:t xml:space="preserve"> Následně byl dne </w:t>
      </w:r>
      <w:r w:rsidRPr="00F62720">
        <w:rPr>
          <w:rFonts w:asciiTheme="minorHAnsi" w:hAnsiTheme="minorHAnsi" w:cstheme="minorHAnsi"/>
        </w:rPr>
        <w:t>15. dubna 2020 zveřejněn společný soubor nástrojů Unie pro mobilní aplikace na podporu sledování kontaktů v boji EU proti COVID-19</w:t>
      </w:r>
      <w:r>
        <w:rPr>
          <w:rFonts w:asciiTheme="minorHAnsi" w:hAnsiTheme="minorHAnsi" w:cstheme="minorHAnsi"/>
        </w:rPr>
        <w:t xml:space="preserve">. </w:t>
      </w:r>
      <w:r w:rsidRPr="00F62720">
        <w:rPr>
          <w:rFonts w:asciiTheme="minorHAnsi" w:hAnsiTheme="minorHAnsi" w:cstheme="minorHAnsi"/>
        </w:rPr>
        <w:t>ČR se zásadním způsobem podílí na evropských diskusích o využití nástrojů elektronizace v boji proti současné pandemii. V ČR byl vytvořen systém Chytrá karanténa, v jehož rámci jsou využívány trasovací mobilní aplikace eRouška a potenciálně Mapy.cz. Aplikace používají navzájem různé technologie, ale mají společný cíl, tedy pomáhají snadněji dohledávat osoby, s nimiž nakažení přišli do styku. ČR v kontextu používání mobilních aplikací podporuje princip dobrovolnosti, stejně jako princip transparentnosti a kontroly vlastních dat uživateli.</w:t>
      </w:r>
    </w:p>
    <w:p w:rsidR="00576C44" w:rsidP="00C709C0" w14:paraId="15CBE401" w14:textId="77777777">
      <w:pPr>
        <w:jc w:val="both"/>
        <w:rPr>
          <w:rFonts w:asciiTheme="minorHAnsi" w:hAnsiTheme="minorHAnsi" w:cstheme="minorHAnsi"/>
        </w:rPr>
      </w:pPr>
    </w:p>
    <w:p w:rsidR="004E07EF" w:rsidRPr="00C24606" w:rsidP="006237C1" w14:paraId="35EB03B4" w14:textId="54EEF11C">
      <w:pPr>
        <w:jc w:val="both"/>
        <w:rPr>
          <w:rFonts w:asciiTheme="minorHAnsi" w:hAnsiTheme="minorHAnsi" w:cstheme="minorHAnsi"/>
        </w:rPr>
      </w:pPr>
      <w:r>
        <w:rPr>
          <w:rFonts w:asciiTheme="minorHAnsi" w:hAnsiTheme="minorHAnsi" w:cstheme="minorHAnsi"/>
        </w:rPr>
        <w:t>V období od poslední aktualizace Zdraví 2030</w:t>
      </w:r>
      <w:r w:rsidR="00AE7866">
        <w:rPr>
          <w:rFonts w:asciiTheme="minorHAnsi" w:hAnsiTheme="minorHAnsi" w:cstheme="minorHAnsi"/>
        </w:rPr>
        <w:t xml:space="preserve"> v roce 2021</w:t>
      </w:r>
      <w:r>
        <w:rPr>
          <w:rFonts w:asciiTheme="minorHAnsi" w:hAnsiTheme="minorHAnsi" w:cstheme="minorHAnsi"/>
        </w:rPr>
        <w:t xml:space="preserve"> byla na evropské i národní úrovni přijata řada zásadní</w:t>
      </w:r>
      <w:r w:rsidR="006237C1">
        <w:rPr>
          <w:rFonts w:asciiTheme="minorHAnsi" w:hAnsiTheme="minorHAnsi" w:cstheme="minorHAnsi"/>
        </w:rPr>
        <w:t>ch</w:t>
      </w:r>
      <w:r>
        <w:rPr>
          <w:rFonts w:asciiTheme="minorHAnsi" w:hAnsiTheme="minorHAnsi" w:cstheme="minorHAnsi"/>
        </w:rPr>
        <w:t xml:space="preserve"> leg</w:t>
      </w:r>
      <w:r w:rsidR="00AE7866">
        <w:rPr>
          <w:rFonts w:asciiTheme="minorHAnsi" w:hAnsiTheme="minorHAnsi" w:cstheme="minorHAnsi"/>
        </w:rPr>
        <w:t>i</w:t>
      </w:r>
      <w:r>
        <w:rPr>
          <w:rFonts w:asciiTheme="minorHAnsi" w:hAnsiTheme="minorHAnsi" w:cstheme="minorHAnsi"/>
        </w:rPr>
        <w:t>slativních i ne</w:t>
      </w:r>
      <w:r w:rsidR="006237C1">
        <w:rPr>
          <w:rFonts w:asciiTheme="minorHAnsi" w:hAnsiTheme="minorHAnsi" w:cstheme="minorHAnsi"/>
        </w:rPr>
        <w:t>l</w:t>
      </w:r>
      <w:r>
        <w:rPr>
          <w:rFonts w:asciiTheme="minorHAnsi" w:hAnsiTheme="minorHAnsi" w:cstheme="minorHAnsi"/>
        </w:rPr>
        <w:t xml:space="preserve">egislativních dokumentů, které mají a budou mít značný dopad na další postup digitalizace zdravotnictví. </w:t>
      </w:r>
      <w:r w:rsidR="006237C1">
        <w:rPr>
          <w:rFonts w:asciiTheme="minorHAnsi" w:hAnsiTheme="minorHAnsi" w:cstheme="minorHAnsi"/>
        </w:rPr>
        <w:t xml:space="preserve">Zejména se jedná o </w:t>
      </w:r>
      <w:r w:rsidRPr="006237C1" w:rsidR="006237C1">
        <w:rPr>
          <w:rFonts w:asciiTheme="minorHAnsi" w:hAnsiTheme="minorHAnsi" w:cstheme="minorHAnsi"/>
        </w:rPr>
        <w:t xml:space="preserve">zákon č. 325/2021 Sb, o elektronizaci zdravotnictví, ve znění pozdějších předpisů, vč. jeho </w:t>
      </w:r>
      <w:r w:rsidRPr="006237C1" w:rsidR="00AE7866">
        <w:rPr>
          <w:rFonts w:asciiTheme="minorHAnsi" w:hAnsiTheme="minorHAnsi" w:cstheme="minorHAnsi"/>
        </w:rPr>
        <w:t>plánovaných</w:t>
      </w:r>
      <w:r w:rsidRPr="006237C1" w:rsidR="006237C1">
        <w:rPr>
          <w:rFonts w:asciiTheme="minorHAnsi" w:hAnsiTheme="minorHAnsi" w:cstheme="minorHAnsi"/>
        </w:rPr>
        <w:t xml:space="preserve"> novel,</w:t>
      </w:r>
      <w:r w:rsidR="00C847AA">
        <w:rPr>
          <w:rFonts w:asciiTheme="minorHAnsi" w:hAnsiTheme="minorHAnsi" w:cstheme="minorHAnsi"/>
        </w:rPr>
        <w:t xml:space="preserve"> S</w:t>
      </w:r>
      <w:r w:rsidRPr="006237C1" w:rsidR="006237C1">
        <w:rPr>
          <w:rFonts w:asciiTheme="minorHAnsi" w:hAnsiTheme="minorHAnsi" w:cstheme="minorHAnsi"/>
        </w:rPr>
        <w:t>měrnic</w:t>
      </w:r>
      <w:r w:rsidR="00C847AA">
        <w:rPr>
          <w:rFonts w:asciiTheme="minorHAnsi" w:hAnsiTheme="minorHAnsi" w:cstheme="minorHAnsi"/>
        </w:rPr>
        <w:t>i</w:t>
      </w:r>
      <w:r w:rsidRPr="006237C1" w:rsidR="006237C1">
        <w:rPr>
          <w:rFonts w:asciiTheme="minorHAnsi" w:hAnsiTheme="minorHAnsi" w:cstheme="minorHAnsi"/>
        </w:rPr>
        <w:t xml:space="preserve"> Evropského parlamentu a Rady (EU) 2022/2555 ze dne 14. prosince 2022 o opatřeních k zajištění vysoké společné úrovně kybernetické bezpečnosti v Unii a</w:t>
      </w:r>
      <w:r w:rsidR="00576C44">
        <w:rPr>
          <w:rFonts w:asciiTheme="minorHAnsi" w:hAnsiTheme="minorHAnsi" w:cstheme="minorHAnsi"/>
        </w:rPr>
        <w:t> </w:t>
      </w:r>
      <w:r w:rsidRPr="006237C1" w:rsidR="006237C1">
        <w:rPr>
          <w:rFonts w:asciiTheme="minorHAnsi" w:hAnsiTheme="minorHAnsi" w:cstheme="minorHAnsi"/>
        </w:rPr>
        <w:t>o změně nařízení (EU) č. 910/2014 a směrnice (EU) 2018/1972 a o zrušení směrnice (EU) 2016/1148 (směrnice NIS 2),o NAŘÍZENÍ EVROPSKÉHO PARLAMENTU A RADY o evropském prostoru pro zdravotní dat (EHDS)</w:t>
      </w:r>
      <w:r w:rsidR="00E228A1">
        <w:rPr>
          <w:rFonts w:asciiTheme="minorHAnsi" w:hAnsiTheme="minorHAnsi" w:cstheme="minorHAnsi"/>
        </w:rPr>
        <w:t xml:space="preserve">, </w:t>
      </w:r>
      <w:r w:rsidRPr="006237C1" w:rsidR="006237C1">
        <w:rPr>
          <w:rFonts w:asciiTheme="minorHAnsi" w:hAnsiTheme="minorHAnsi" w:cstheme="minorHAnsi"/>
        </w:rPr>
        <w:t>o Národní strategie umělé inteligence v České republice</w:t>
      </w:r>
      <w:r w:rsidR="00E228A1">
        <w:rPr>
          <w:rFonts w:asciiTheme="minorHAnsi" w:hAnsiTheme="minorHAnsi" w:cstheme="minorHAnsi"/>
        </w:rPr>
        <w:t xml:space="preserve"> a o </w:t>
      </w:r>
      <w:r w:rsidRPr="006237C1" w:rsidR="006237C1">
        <w:rPr>
          <w:rFonts w:asciiTheme="minorHAnsi" w:hAnsiTheme="minorHAnsi" w:cstheme="minorHAnsi"/>
        </w:rPr>
        <w:t xml:space="preserve">NAŘÍZENÍ EVROPSKÉHO PARLAMENTU A RADY (EU) 2024/1689, </w:t>
      </w:r>
      <w:r w:rsidRPr="006237C1" w:rsidR="00DF5F3D">
        <w:rPr>
          <w:rFonts w:asciiTheme="minorHAnsi" w:hAnsiTheme="minorHAnsi" w:cstheme="minorHAnsi"/>
        </w:rPr>
        <w:t>kterým</w:t>
      </w:r>
      <w:r w:rsidRPr="006237C1" w:rsidR="006237C1">
        <w:rPr>
          <w:rFonts w:asciiTheme="minorHAnsi" w:hAnsiTheme="minorHAnsi" w:cstheme="minorHAnsi"/>
        </w:rPr>
        <w:t xml:space="preserve"> se stanoví harmonizovaná pravidla pro umělou inteligenci</w:t>
      </w:r>
      <w:r w:rsidR="00E228A1">
        <w:rPr>
          <w:rFonts w:asciiTheme="minorHAnsi" w:hAnsiTheme="minorHAnsi" w:cstheme="minorHAnsi"/>
        </w:rPr>
        <w:t xml:space="preserve"> (AI Act)</w:t>
      </w:r>
      <w:r w:rsidRPr="006237C1" w:rsidR="006237C1">
        <w:rPr>
          <w:rFonts w:asciiTheme="minorHAnsi" w:hAnsiTheme="minorHAnsi" w:cstheme="minorHAnsi"/>
        </w:rPr>
        <w:t>,</w:t>
      </w:r>
      <w:r>
        <w:rPr>
          <w:rFonts w:asciiTheme="minorHAnsi" w:hAnsiTheme="minorHAnsi" w:cstheme="minorHAnsi"/>
        </w:rPr>
        <w:t xml:space="preserve">  </w:t>
      </w:r>
    </w:p>
    <w:p w:rsidR="00EB7AC1" w:rsidP="00C709C0" w14:paraId="3B08370E" w14:textId="39CA6FC1">
      <w:pPr>
        <w:jc w:val="both"/>
        <w:rPr>
          <w:rFonts w:asciiTheme="minorHAnsi" w:hAnsiTheme="minorHAnsi" w:cstheme="minorHAnsi"/>
        </w:rPr>
      </w:pPr>
    </w:p>
    <w:p w:rsidR="00655B6A" w:rsidRPr="00872ED3" w:rsidP="00655B6A" w14:paraId="5A8A862B"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 xml:space="preserve">Proces přípravy: </w:t>
      </w:r>
    </w:p>
    <w:p w:rsidR="00655B6A" w:rsidP="00655B6A" w14:paraId="0F49F75E" w14:textId="336678D6">
      <w:pPr>
        <w:jc w:val="both"/>
        <w:rPr>
          <w:rFonts w:asciiTheme="minorHAnsi" w:eastAsiaTheme="minorEastAsia" w:hAnsiTheme="minorHAnsi" w:cstheme="minorBidi"/>
        </w:rPr>
      </w:pPr>
      <w:r w:rsidRPr="144052BF">
        <w:rPr>
          <w:rFonts w:asciiTheme="minorHAnsi" w:eastAsiaTheme="minorEastAsia" w:hAnsiTheme="minorHAnsi" w:cstheme="minorBidi"/>
        </w:rPr>
        <w:t xml:space="preserve">V rámci přípravy </w:t>
      </w:r>
      <w:r w:rsidRPr="000920B3" w:rsidR="000920B3">
        <w:rPr>
          <w:rFonts w:asciiTheme="minorHAnsi" w:eastAsiaTheme="minorEastAsia" w:hAnsiTheme="minorHAnsi" w:cstheme="minorBidi"/>
        </w:rPr>
        <w:t>aktualizac</w:t>
      </w:r>
      <w:r w:rsidR="000920B3">
        <w:rPr>
          <w:rFonts w:asciiTheme="minorHAnsi" w:eastAsiaTheme="minorEastAsia" w:hAnsiTheme="minorHAnsi" w:cstheme="minorBidi"/>
        </w:rPr>
        <w:t>e</w:t>
      </w:r>
      <w:r w:rsidRPr="000920B3" w:rsidR="000920B3">
        <w:rPr>
          <w:rFonts w:asciiTheme="minorHAnsi" w:eastAsiaTheme="minorEastAsia" w:hAnsiTheme="minorHAnsi" w:cstheme="minorBidi"/>
        </w:rPr>
        <w:t xml:space="preserve"> Národní strategie elektronického zdravotnictví pro období do roku 2035</w:t>
      </w:r>
      <w:r w:rsidR="000920B3">
        <w:rPr>
          <w:rFonts w:asciiTheme="minorHAnsi" w:eastAsiaTheme="minorEastAsia" w:hAnsiTheme="minorHAnsi" w:cstheme="minorBidi"/>
        </w:rPr>
        <w:t xml:space="preserve"> </w:t>
      </w:r>
      <w:r w:rsidR="00FB3C7B">
        <w:rPr>
          <w:rFonts w:asciiTheme="minorHAnsi" w:eastAsiaTheme="minorEastAsia" w:hAnsiTheme="minorHAnsi" w:cstheme="minorBidi"/>
        </w:rPr>
        <w:t xml:space="preserve">se související aktualizaci </w:t>
      </w:r>
      <w:r w:rsidRPr="00296AAF" w:rsidR="00FB3C7B">
        <w:rPr>
          <w:rFonts w:asciiTheme="minorHAnsi" w:hAnsiTheme="minorHAnsi" w:cstheme="minorHAnsi"/>
        </w:rPr>
        <w:t>strategick</w:t>
      </w:r>
      <w:r w:rsidR="00FB3C7B">
        <w:rPr>
          <w:rFonts w:asciiTheme="minorHAnsi" w:hAnsiTheme="minorHAnsi" w:cstheme="minorHAnsi"/>
        </w:rPr>
        <w:t>ých</w:t>
      </w:r>
      <w:r w:rsidRPr="00296AAF" w:rsidR="00FB3C7B">
        <w:rPr>
          <w:rFonts w:asciiTheme="minorHAnsi" w:hAnsiTheme="minorHAnsi" w:cstheme="minorHAnsi"/>
        </w:rPr>
        <w:t xml:space="preserve"> dokument</w:t>
      </w:r>
      <w:r w:rsidR="00FB3C7B">
        <w:rPr>
          <w:rFonts w:asciiTheme="minorHAnsi" w:hAnsiTheme="minorHAnsi" w:cstheme="minorHAnsi"/>
        </w:rPr>
        <w:t>ů zabývajících se digitalizací zdravotnictví</w:t>
      </w:r>
      <w:r w:rsidR="00F50C36">
        <w:rPr>
          <w:rFonts w:asciiTheme="minorHAnsi" w:hAnsiTheme="minorHAnsi" w:cstheme="minorHAnsi"/>
        </w:rPr>
        <w:t xml:space="preserve">, včetně tohoto </w:t>
      </w:r>
      <w:r w:rsidRPr="144052BF">
        <w:rPr>
          <w:rFonts w:asciiTheme="minorHAnsi" w:eastAsiaTheme="minorEastAsia" w:hAnsiTheme="minorHAnsi" w:cstheme="minorBidi"/>
        </w:rPr>
        <w:t xml:space="preserve">implementačního plánu </w:t>
      </w:r>
      <w:r w:rsidR="007C47F0">
        <w:rPr>
          <w:rFonts w:asciiTheme="minorHAnsi" w:eastAsiaTheme="minorEastAsia" w:hAnsiTheme="minorHAnsi" w:cstheme="minorBidi"/>
        </w:rPr>
        <w:t xml:space="preserve">2.3 </w:t>
      </w:r>
      <w:r>
        <w:rPr>
          <w:rFonts w:asciiTheme="minorHAnsi" w:eastAsiaTheme="minorEastAsia" w:hAnsiTheme="minorHAnsi" w:cstheme="minorBidi"/>
        </w:rPr>
        <w:t xml:space="preserve">byly osloveny </w:t>
      </w:r>
      <w:r w:rsidR="008D43FC">
        <w:rPr>
          <w:rFonts w:asciiTheme="minorHAnsi" w:eastAsiaTheme="minorEastAsia" w:hAnsiTheme="minorHAnsi" w:cstheme="minorBidi"/>
        </w:rPr>
        <w:t xml:space="preserve">a dále budou zapojeny do </w:t>
      </w:r>
      <w:r w:rsidR="00E96D0C">
        <w:rPr>
          <w:rFonts w:asciiTheme="minorHAnsi" w:eastAsiaTheme="minorEastAsia" w:hAnsiTheme="minorHAnsi" w:cstheme="minorBidi"/>
        </w:rPr>
        <w:t xml:space="preserve">procesu aktualizací strategií </w:t>
      </w:r>
      <w:r>
        <w:rPr>
          <w:rFonts w:asciiTheme="minorHAnsi" w:eastAsiaTheme="minorEastAsia" w:hAnsiTheme="minorHAnsi" w:cstheme="minorBidi"/>
        </w:rPr>
        <w:t xml:space="preserve">relevantní odborné útvary </w:t>
      </w:r>
      <w:r w:rsidR="008C6210">
        <w:rPr>
          <w:rFonts w:asciiTheme="minorHAnsi" w:eastAsiaTheme="minorEastAsia" w:hAnsiTheme="minorHAnsi" w:cstheme="minorBidi"/>
        </w:rPr>
        <w:t>MZD</w:t>
      </w:r>
      <w:r>
        <w:rPr>
          <w:rFonts w:asciiTheme="minorHAnsi" w:eastAsiaTheme="minorEastAsia" w:hAnsiTheme="minorHAnsi" w:cstheme="minorBidi"/>
        </w:rPr>
        <w:t xml:space="preserve"> s žádostí o definování dalších oblastí zdravotní péče, které by bylo vhodné pro prodloužené implementační období akcentovat. Vybrané oblasti ve většině případů disponují vlastními dílčími strategiemi odborné společnosti, které jsou hlavními podkladovými materiály pro přípravu implementačního plánu. </w:t>
      </w:r>
    </w:p>
    <w:p w:rsidR="00655B6A" w:rsidRPr="00872ED3" w:rsidP="00655B6A" w14:paraId="23A3792A" w14:textId="77777777">
      <w:pPr>
        <w:jc w:val="both"/>
        <w:rPr>
          <w:rFonts w:asciiTheme="minorHAnsi" w:eastAsiaTheme="minorEastAsia" w:hAnsiTheme="minorHAnsi" w:cstheme="minorBidi"/>
        </w:rPr>
      </w:pPr>
    </w:p>
    <w:p w:rsidR="00655B6A" w:rsidP="00655B6A" w14:paraId="516BF395" w14:textId="77777777">
      <w:pPr>
        <w:jc w:val="both"/>
        <w:rPr>
          <w:rFonts w:asciiTheme="minorHAnsi" w:eastAsiaTheme="minorEastAsia" w:hAnsiTheme="minorHAnsi" w:cstheme="minorBidi"/>
        </w:rPr>
      </w:pPr>
      <w:r>
        <w:rPr>
          <w:rFonts w:asciiTheme="minorHAnsi" w:eastAsiaTheme="minorEastAsia" w:hAnsiTheme="minorHAnsi" w:cstheme="minorBidi"/>
        </w:rPr>
        <w:t xml:space="preserve">Na základě vyhodnocení Zprávy o implementaci Zdraví 2030, která byla předložena vládě v červnu 2023 byla vyhodnocena nutnost aktualizace a prolongace celého Strategického rámce Zdraví 2030 do roku 2035. </w:t>
      </w:r>
    </w:p>
    <w:p w:rsidR="00655B6A" w:rsidP="00655B6A" w14:paraId="453EE025" w14:textId="77777777">
      <w:pPr>
        <w:jc w:val="both"/>
        <w:rPr>
          <w:rFonts w:asciiTheme="minorHAnsi" w:eastAsiaTheme="minorEastAsia" w:hAnsiTheme="minorHAnsi" w:cstheme="minorBidi"/>
        </w:rPr>
      </w:pPr>
    </w:p>
    <w:p w:rsidR="00655B6A" w:rsidRPr="00872ED3" w:rsidP="00655B6A" w14:paraId="56C80C48"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p>
    <w:p w:rsidR="00655B6A" w:rsidRPr="00461857" w:rsidP="00655B6A" w14:paraId="538C017E" w14:textId="75241E22">
      <w:pPr>
        <w:jc w:val="both"/>
        <w:rPr>
          <w:rFonts w:asciiTheme="minorHAnsi" w:hAnsiTheme="minorHAnsi" w:cstheme="minorHAnsi"/>
        </w:rPr>
      </w:pPr>
      <w:r w:rsidRPr="144052BF">
        <w:rPr>
          <w:rFonts w:asciiTheme="minorHAnsi" w:eastAsiaTheme="minorEastAsia" w:hAnsiTheme="minorHAnsi" w:cstheme="minorBidi"/>
        </w:rPr>
        <w:t xml:space="preserve">MPSV, MMR, MV, </w:t>
      </w:r>
      <w:r w:rsidR="001A7535">
        <w:rPr>
          <w:rFonts w:asciiTheme="minorHAnsi" w:eastAsiaTheme="minorEastAsia" w:hAnsiTheme="minorHAnsi" w:cstheme="minorBidi"/>
        </w:rPr>
        <w:t>DIA</w:t>
      </w:r>
      <w:r w:rsidRPr="144052BF">
        <w:rPr>
          <w:rFonts w:asciiTheme="minorHAnsi" w:eastAsiaTheme="minorEastAsia" w:hAnsiTheme="minorHAnsi" w:cstheme="minorBidi"/>
        </w:rPr>
        <w:t>, Asociace krajů ČR, IPVZ, NCO-NZO, ÚZIS, SZÚ, zdravotní ústavy, KHS, ČLS JEP, lékařské fakulty, profesní komory, odborné společnosti, ČAS, poskytovatelé zdravotních služeb</w:t>
      </w:r>
      <w:r w:rsidR="00621CA9">
        <w:rPr>
          <w:rFonts w:asciiTheme="minorHAnsi" w:eastAsiaTheme="minorEastAsia" w:hAnsiTheme="minorHAnsi" w:cstheme="minorBidi"/>
        </w:rPr>
        <w:t>,</w:t>
      </w:r>
      <w:r>
        <w:rPr>
          <w:rFonts w:asciiTheme="minorHAnsi" w:eastAsiaTheme="minorEastAsia" w:hAnsiTheme="minorHAnsi" w:cstheme="minorBidi"/>
        </w:rPr>
        <w:t xml:space="preserve"> poskytovatelé sociálních služeb</w:t>
      </w:r>
      <w:r w:rsidRPr="144052BF">
        <w:rPr>
          <w:rFonts w:asciiTheme="minorHAnsi" w:eastAsiaTheme="minorEastAsia" w:hAnsiTheme="minorHAnsi" w:cstheme="minorBidi"/>
        </w:rPr>
        <w:t>, zdravotní pojišťovny, Mladí lékaři</w:t>
      </w:r>
      <w:r w:rsidR="00621CA9">
        <w:rPr>
          <w:rFonts w:asciiTheme="minorHAnsi" w:eastAsiaTheme="minorEastAsia" w:hAnsiTheme="minorHAnsi" w:cstheme="minorBidi"/>
        </w:rPr>
        <w:t>,</w:t>
      </w:r>
      <w:r w:rsidRPr="144052BF">
        <w:rPr>
          <w:rFonts w:asciiTheme="minorHAnsi" w:eastAsiaTheme="minorEastAsia" w:hAnsiTheme="minorHAnsi" w:cstheme="minorBidi"/>
        </w:rPr>
        <w:t xml:space="preserve"> z.s., sdružení poskytovatelů, odborové svazy, zdravotnické asociace nemocnic, Svaz zdravotních pojišťoven, vzdělavatelé včetně akreditovaných zařízení</w:t>
      </w:r>
      <w:r w:rsidR="00576C44">
        <w:rPr>
          <w:rFonts w:asciiTheme="minorHAnsi" w:eastAsiaTheme="minorEastAsia" w:hAnsiTheme="minorHAnsi" w:cstheme="minorBidi"/>
        </w:rPr>
        <w:t>.</w:t>
      </w:r>
    </w:p>
    <w:p w:rsidR="00655B6A" w:rsidP="00655B6A" w14:paraId="77B84150" w14:textId="77777777">
      <w:pPr>
        <w:jc w:val="both"/>
        <w:rPr>
          <w:rFonts w:asciiTheme="minorHAnsi" w:eastAsiaTheme="minorEastAsia" w:hAnsiTheme="minorHAnsi" w:cstheme="minorBidi"/>
        </w:rPr>
      </w:pPr>
    </w:p>
    <w:p w:rsidR="00655B6A" w:rsidRPr="00C24606" w:rsidP="00C709C0" w14:paraId="0669BB30" w14:textId="77777777">
      <w:pPr>
        <w:jc w:val="both"/>
        <w:rPr>
          <w:rFonts w:asciiTheme="minorHAnsi" w:hAnsiTheme="minorHAnsi" w:cstheme="minorHAnsi"/>
        </w:rPr>
      </w:pPr>
    </w:p>
    <w:p w:rsidR="0034008C" w:rsidRPr="00C24606" w:rsidP="00C709C0" w14:paraId="4534E47C" w14:textId="77777777">
      <w:pPr>
        <w:pStyle w:val="Heading1"/>
        <w:numPr>
          <w:ilvl w:val="0"/>
          <w:numId w:val="13"/>
        </w:numPr>
        <w:jc w:val="both"/>
        <w:rPr>
          <w:rFonts w:cstheme="minorHAnsi"/>
        </w:rPr>
      </w:pPr>
      <w:bookmarkStart w:id="225" w:name="_Toc256000001"/>
      <w:r w:rsidRPr="00C24606">
        <w:rPr>
          <w:rFonts w:cstheme="minorHAnsi"/>
        </w:rPr>
        <w:t>Základní informace o specifickém cíli</w:t>
      </w:r>
      <w:bookmarkEnd w:id="225"/>
      <w:r w:rsidRPr="00C24606">
        <w:rPr>
          <w:rFonts w:cstheme="minorHAnsi"/>
        </w:rPr>
        <w:t xml:space="preserve"> </w:t>
      </w:r>
    </w:p>
    <w:p w:rsidR="003351A8" w:rsidRPr="00C24606" w:rsidP="00C709C0" w14:paraId="192E3F11" w14:textId="77777777">
      <w:pPr>
        <w:jc w:val="both"/>
        <w:rPr>
          <w:rFonts w:asciiTheme="minorHAnsi" w:hAnsiTheme="minorHAnsi" w:cstheme="minorHAnsi"/>
        </w:rPr>
      </w:pPr>
    </w:p>
    <w:p w:rsidR="00DF5F3D" w:rsidP="00DA1101" w14:paraId="57B70056" w14:textId="4A78E8D1">
      <w:pPr>
        <w:jc w:val="both"/>
        <w:outlineLvl w:val="0"/>
        <w:rPr>
          <w:rFonts w:asciiTheme="minorHAnsi" w:hAnsiTheme="minorHAnsi" w:cstheme="minorHAnsi"/>
        </w:rPr>
      </w:pPr>
      <w:bookmarkStart w:id="226" w:name="_Hlk31087498"/>
      <w:bookmarkStart w:id="227" w:name="_Toc256000002"/>
      <w:r w:rsidRPr="00C24606">
        <w:rPr>
          <w:rFonts w:asciiTheme="minorHAnsi" w:hAnsiTheme="minorHAnsi" w:cstheme="minorHAnsi"/>
        </w:rPr>
        <w:t>Střednědo</w:t>
      </w:r>
      <w:r w:rsidRPr="00C24606" w:rsidR="00C940F5">
        <w:rPr>
          <w:rFonts w:asciiTheme="minorHAnsi" w:hAnsiTheme="minorHAnsi" w:cstheme="minorHAnsi"/>
        </w:rPr>
        <w:t xml:space="preserve">bý strategický dokument formulující strategické cíle elektronického zdravotnictví je </w:t>
      </w:r>
      <w:r w:rsidRPr="00C24606" w:rsidR="00276AFF">
        <w:rPr>
          <w:rFonts w:asciiTheme="minorHAnsi" w:hAnsiTheme="minorHAnsi" w:cstheme="minorHAnsi"/>
        </w:rPr>
        <w:t>Národní strategie elektronického zdravotnictví na období 2016-2020</w:t>
      </w:r>
      <w:r w:rsidR="00621CA9">
        <w:rPr>
          <w:rFonts w:asciiTheme="minorHAnsi" w:hAnsiTheme="minorHAnsi" w:cstheme="minorHAnsi"/>
        </w:rPr>
        <w:t>(6)</w:t>
      </w:r>
      <w:r w:rsidR="009B5806">
        <w:rPr>
          <w:rFonts w:asciiTheme="minorHAnsi" w:hAnsiTheme="minorHAnsi" w:cstheme="minorHAnsi"/>
        </w:rPr>
        <w:t xml:space="preserve"> a její probíhající aktualizace pro období do roku 2035</w:t>
      </w:r>
      <w:r w:rsidR="00576C44">
        <w:rPr>
          <w:rFonts w:asciiTheme="minorHAnsi" w:hAnsiTheme="minorHAnsi" w:cstheme="minorHAnsi"/>
        </w:rPr>
        <w:t>, která</w:t>
      </w:r>
      <w:r w:rsidRPr="000B7CB1" w:rsidR="00364FB7">
        <w:rPr>
          <w:rFonts w:asciiTheme="minorHAnsi" w:hAnsiTheme="minorHAnsi" w:cstheme="minorHAnsi"/>
        </w:rPr>
        <w:t xml:space="preserve"> na základě znalosti českého zdravotnictví, společenských podmínek a trendů vývoje na úrovni EU a ČR formuluje na období minimálně pěti let strategické cíle a program pro jejich podporu</w:t>
      </w:r>
      <w:r w:rsidR="00364FB7">
        <w:rPr>
          <w:rFonts w:asciiTheme="minorHAnsi" w:hAnsiTheme="minorHAnsi" w:cstheme="minorHAnsi"/>
        </w:rPr>
        <w:t xml:space="preserve">. </w:t>
      </w:r>
      <w:r w:rsidRPr="00C24606" w:rsidR="00C940F5">
        <w:rPr>
          <w:rFonts w:asciiTheme="minorHAnsi" w:hAnsiTheme="minorHAnsi" w:cstheme="minorHAnsi"/>
        </w:rPr>
        <w:t xml:space="preserve">Prováděcím dokumentem Strategie je Akční plán k Národní strategii </w:t>
      </w:r>
      <w:r w:rsidR="00364FB7">
        <w:rPr>
          <w:rFonts w:asciiTheme="minorHAnsi" w:hAnsiTheme="minorHAnsi" w:cstheme="minorHAnsi"/>
        </w:rPr>
        <w:t xml:space="preserve">elektronického zdravotnictví z dubna 2017, </w:t>
      </w:r>
      <w:r w:rsidRPr="00C24606" w:rsidR="00C940F5">
        <w:rPr>
          <w:rFonts w:asciiTheme="minorHAnsi" w:hAnsiTheme="minorHAnsi" w:cstheme="minorHAnsi"/>
        </w:rPr>
        <w:t>v </w:t>
      </w:r>
      <w:r w:rsidRPr="00C24606" w:rsidR="00364FB7">
        <w:rPr>
          <w:rFonts w:asciiTheme="minorHAnsi" w:hAnsiTheme="minorHAnsi" w:cstheme="minorHAnsi"/>
        </w:rPr>
        <w:t>rámci,</w:t>
      </w:r>
      <w:r w:rsidRPr="00C24606" w:rsidR="00C940F5">
        <w:rPr>
          <w:rFonts w:asciiTheme="minorHAnsi" w:hAnsiTheme="minorHAnsi" w:cstheme="minorHAnsi"/>
        </w:rPr>
        <w:t xml:space="preserve"> kterého </w:t>
      </w:r>
      <w:r w:rsidRPr="00C24606" w:rsidR="00F53339">
        <w:rPr>
          <w:rFonts w:asciiTheme="minorHAnsi" w:hAnsiTheme="minorHAnsi" w:cstheme="minorHAnsi"/>
        </w:rPr>
        <w:t>jsou</w:t>
      </w:r>
      <w:bookmarkStart w:id="228" w:name="_Toc7697522"/>
      <w:bookmarkStart w:id="229" w:name="_Toc7698293"/>
      <w:bookmarkStart w:id="230" w:name="_Toc7705144"/>
      <w:bookmarkStart w:id="231" w:name="_Toc7705615"/>
      <w:bookmarkStart w:id="232" w:name="_Toc7706131"/>
      <w:bookmarkStart w:id="233" w:name="_Toc7779526"/>
      <w:bookmarkStart w:id="234" w:name="_Toc10196787"/>
      <w:bookmarkStart w:id="235" w:name="_Toc10196914"/>
      <w:bookmarkStart w:id="236" w:name="_Toc10619806"/>
      <w:r w:rsidRPr="00C24606" w:rsidR="00276AFF">
        <w:rPr>
          <w:rFonts w:asciiTheme="minorHAnsi" w:hAnsiTheme="minorHAnsi" w:cstheme="minorHAnsi"/>
        </w:rPr>
        <w:t xml:space="preserve"> </w:t>
      </w:r>
      <w:r w:rsidRPr="00C24606" w:rsidR="00A02393">
        <w:rPr>
          <w:rFonts w:asciiTheme="minorHAnsi" w:hAnsiTheme="minorHAnsi" w:cstheme="minorHAnsi"/>
        </w:rPr>
        <w:t xml:space="preserve">naplňována a </w:t>
      </w:r>
      <w:r w:rsidRPr="00C24606" w:rsidR="00276AFF">
        <w:rPr>
          <w:rFonts w:asciiTheme="minorHAnsi" w:hAnsiTheme="minorHAnsi" w:cstheme="minorHAnsi"/>
        </w:rPr>
        <w:t xml:space="preserve">realizována </w:t>
      </w:r>
      <w:r w:rsidRPr="00C24606" w:rsidR="00A02393">
        <w:rPr>
          <w:rFonts w:asciiTheme="minorHAnsi" w:hAnsiTheme="minorHAnsi" w:cstheme="minorHAnsi"/>
        </w:rPr>
        <w:t xml:space="preserve">jednotlivá </w:t>
      </w:r>
      <w:r w:rsidRPr="00C24606" w:rsidR="00276AFF">
        <w:rPr>
          <w:rFonts w:asciiTheme="minorHAnsi" w:hAnsiTheme="minorHAnsi" w:cstheme="minorHAnsi"/>
        </w:rPr>
        <w:t>opatření</w:t>
      </w:r>
      <w:r w:rsidRPr="00C24606" w:rsidR="00A02393">
        <w:rPr>
          <w:rFonts w:asciiTheme="minorHAnsi" w:hAnsiTheme="minorHAnsi" w:cstheme="minorHAnsi"/>
        </w:rPr>
        <w:t xml:space="preserve"> z přijatého Akčního plánu</w:t>
      </w:r>
      <w:r w:rsidR="00364FB7">
        <w:rPr>
          <w:rFonts w:asciiTheme="minorHAnsi" w:hAnsiTheme="minorHAnsi" w:cstheme="minorHAnsi"/>
        </w:rPr>
        <w:t xml:space="preserve">, konkretizována </w:t>
      </w:r>
      <w:r w:rsidRPr="000B7CB1" w:rsidR="00364FB7">
        <w:rPr>
          <w:rFonts w:asciiTheme="minorHAnsi" w:hAnsiTheme="minorHAnsi" w:cstheme="minorHAnsi"/>
        </w:rPr>
        <w:t xml:space="preserve">vybraná opatření, úkoly a aktivity způsob jejich realizace </w:t>
      </w:r>
      <w:r w:rsidR="00364FB7">
        <w:rPr>
          <w:rFonts w:asciiTheme="minorHAnsi" w:hAnsiTheme="minorHAnsi" w:cstheme="minorHAnsi"/>
        </w:rPr>
        <w:t xml:space="preserve">včetně </w:t>
      </w:r>
      <w:r w:rsidRPr="000B7CB1" w:rsidR="00364FB7">
        <w:rPr>
          <w:rFonts w:asciiTheme="minorHAnsi" w:hAnsiTheme="minorHAnsi" w:cstheme="minorHAnsi"/>
        </w:rPr>
        <w:t>hodnocení.</w:t>
      </w:r>
      <w:r w:rsidR="00364FB7">
        <w:rPr>
          <w:rFonts w:asciiTheme="minorHAnsi" w:hAnsiTheme="minorHAnsi" w:cstheme="minorHAnsi"/>
        </w:rPr>
        <w:t xml:space="preserve"> Dalším strategickým dokumentem je vládní </w:t>
      </w:r>
      <w:r w:rsidRPr="00191761" w:rsidR="00364FB7">
        <w:rPr>
          <w:rFonts w:asciiTheme="minorHAnsi" w:hAnsiTheme="minorHAnsi" w:cstheme="minorHAnsi"/>
          <w:noProof/>
        </w:rPr>
        <w:t>Program Digitální Česko</w:t>
      </w:r>
      <w:r w:rsidR="00FB373C">
        <w:rPr>
          <w:rFonts w:asciiTheme="minorHAnsi" w:hAnsiTheme="minorHAnsi" w:cstheme="minorHAnsi"/>
          <w:noProof/>
        </w:rPr>
        <w:t>, který je pravidelně aktualizován</w:t>
      </w:r>
      <w:r w:rsidRPr="006133A0" w:rsidR="00364FB7">
        <w:t xml:space="preserve"> </w:t>
      </w:r>
      <w:r w:rsidRPr="006133A0" w:rsidR="00364FB7">
        <w:rPr>
          <w:rFonts w:asciiTheme="minorHAnsi" w:hAnsiTheme="minorHAnsi" w:cstheme="minorHAnsi"/>
          <w:noProof/>
        </w:rPr>
        <w:t>Program Digitální Česko má zajistit předpoklady dlouhodobé prosperity ČR v prostředí probíhající digitální revoluce. Z</w:t>
      </w:r>
      <w:r w:rsidR="00576C44">
        <w:rPr>
          <w:rFonts w:asciiTheme="minorHAnsi" w:hAnsiTheme="minorHAnsi" w:cstheme="minorHAnsi"/>
          <w:noProof/>
        </w:rPr>
        <w:t> </w:t>
      </w:r>
      <w:r w:rsidRPr="006133A0" w:rsidR="00364FB7">
        <w:rPr>
          <w:rFonts w:asciiTheme="minorHAnsi" w:hAnsiTheme="minorHAnsi" w:cstheme="minorHAnsi"/>
          <w:noProof/>
        </w:rPr>
        <w:t>tohoto důvodu byly zpracovány implementační plány (IP), jimiž se budou naplňovat cíle programu Digitální Česko</w:t>
      </w:r>
      <w:r w:rsidR="00364FB7">
        <w:rPr>
          <w:rFonts w:asciiTheme="minorHAnsi" w:hAnsiTheme="minorHAnsi" w:cstheme="minorHAnsi"/>
          <w:noProof/>
        </w:rPr>
        <w:t xml:space="preserve">, který </w:t>
      </w:r>
      <w:r w:rsidRPr="00191761" w:rsidR="00364FB7">
        <w:rPr>
          <w:rFonts w:asciiTheme="minorHAnsi" w:hAnsiTheme="minorHAnsi" w:cstheme="minorHAnsi"/>
          <w:noProof/>
        </w:rPr>
        <w:t>je tvořen 3 koncepcemi - Česko v digitální Evropě (ČDE), Informační koncepce ČR (IK ČR) a</w:t>
      </w:r>
      <w:r w:rsidR="00576C44">
        <w:rPr>
          <w:rFonts w:asciiTheme="minorHAnsi" w:hAnsiTheme="minorHAnsi" w:cstheme="minorHAnsi"/>
          <w:noProof/>
        </w:rPr>
        <w:t> </w:t>
      </w:r>
      <w:r w:rsidRPr="00191761" w:rsidR="00364FB7">
        <w:rPr>
          <w:rFonts w:asciiTheme="minorHAnsi" w:hAnsiTheme="minorHAnsi" w:cstheme="minorHAnsi"/>
          <w:noProof/>
        </w:rPr>
        <w:t>koncepce Digitální ekonomika a společnost (DES</w:t>
      </w:r>
      <w:r w:rsidR="00364FB7">
        <w:rPr>
          <w:rFonts w:asciiTheme="minorHAnsi" w:hAnsiTheme="minorHAnsi" w:cstheme="minorHAnsi"/>
          <w:noProof/>
        </w:rPr>
        <w:t>).</w:t>
      </w:r>
      <w:r w:rsidRPr="00191761" w:rsidR="00364FB7">
        <w:rPr>
          <w:rFonts w:asciiTheme="minorHAnsi" w:hAnsiTheme="minorHAnsi" w:cstheme="minorHAnsi"/>
          <w:noProof/>
        </w:rPr>
        <w:t xml:space="preserve"> </w:t>
      </w:r>
      <w:r w:rsidRPr="00442B26" w:rsidR="00364FB7">
        <w:rPr>
          <w:rFonts w:asciiTheme="minorHAnsi" w:hAnsiTheme="minorHAnsi" w:cstheme="minorHAnsi"/>
          <w:noProof/>
        </w:rPr>
        <w:t>Ministerstvo zdravotnictví je aktivně zapojeno do programu Digitální Česko</w:t>
      </w:r>
      <w:r w:rsidR="00364FB7">
        <w:rPr>
          <w:rFonts w:asciiTheme="minorHAnsi" w:hAnsiTheme="minorHAnsi" w:cstheme="minorHAnsi"/>
          <w:noProof/>
        </w:rPr>
        <w:t xml:space="preserve"> prostřednictvím záměrů do implementačních plánů</w:t>
      </w:r>
      <w:r w:rsidRPr="00442B26" w:rsidR="00364FB7">
        <w:rPr>
          <w:rFonts w:asciiTheme="minorHAnsi" w:hAnsiTheme="minorHAnsi" w:cstheme="minorHAnsi"/>
          <w:noProof/>
        </w:rPr>
        <w:t>. Implementační plány k</w:t>
      </w:r>
      <w:r w:rsidR="00576C44">
        <w:rPr>
          <w:rFonts w:asciiTheme="minorHAnsi" w:hAnsiTheme="minorHAnsi" w:cstheme="minorHAnsi"/>
          <w:noProof/>
        </w:rPr>
        <w:t> </w:t>
      </w:r>
      <w:r w:rsidRPr="00442B26" w:rsidR="00364FB7">
        <w:rPr>
          <w:rFonts w:asciiTheme="minorHAnsi" w:hAnsiTheme="minorHAnsi" w:cstheme="minorHAnsi"/>
          <w:noProof/>
        </w:rPr>
        <w:t xml:space="preserve">programu Digitální Česko mají za cíl </w:t>
      </w:r>
      <w:r w:rsidR="00576C44">
        <w:rPr>
          <w:rFonts w:asciiTheme="minorHAnsi" w:hAnsiTheme="minorHAnsi" w:cstheme="minorHAnsi"/>
          <w:noProof/>
        </w:rPr>
        <w:t>definovat požadavky na</w:t>
      </w:r>
      <w:r w:rsidRPr="00442B26" w:rsidR="00364FB7">
        <w:rPr>
          <w:rFonts w:asciiTheme="minorHAnsi" w:hAnsiTheme="minorHAnsi" w:cstheme="minorHAnsi"/>
          <w:noProof/>
        </w:rPr>
        <w:t xml:space="preserve"> prostředky z</w:t>
      </w:r>
      <w:r w:rsidR="00576C44">
        <w:rPr>
          <w:rFonts w:asciiTheme="minorHAnsi" w:hAnsiTheme="minorHAnsi" w:cstheme="minorHAnsi"/>
          <w:noProof/>
        </w:rPr>
        <w:t> </w:t>
      </w:r>
      <w:r w:rsidRPr="00442B26" w:rsidR="00364FB7">
        <w:rPr>
          <w:rFonts w:asciiTheme="minorHAnsi" w:hAnsiTheme="minorHAnsi" w:cstheme="minorHAnsi"/>
          <w:noProof/>
        </w:rPr>
        <w:t>EU</w:t>
      </w:r>
      <w:r w:rsidR="00576C44">
        <w:rPr>
          <w:rFonts w:asciiTheme="minorHAnsi" w:hAnsiTheme="minorHAnsi" w:cstheme="minorHAnsi"/>
          <w:noProof/>
        </w:rPr>
        <w:t xml:space="preserve"> a</w:t>
      </w:r>
      <w:r w:rsidRPr="00442B26" w:rsidR="00364FB7">
        <w:rPr>
          <w:rFonts w:asciiTheme="minorHAnsi" w:hAnsiTheme="minorHAnsi" w:cstheme="minorHAnsi"/>
          <w:noProof/>
        </w:rPr>
        <w:t xml:space="preserve"> prostředky ze státního rozpočtu; inventarizovat a jednoznačně reportovat aktivity z oblasti digitální ekonomiky ve státní správě; sjednotit strategie a akční plány týkající se digitalizace ČR pod hlavičkou Digitální Česko; nastavit nezvratný proces komplexní digitalizace ČR a snížit byrokracii ve státní správě.</w:t>
      </w:r>
      <w:r w:rsidR="00364FB7">
        <w:rPr>
          <w:rFonts w:asciiTheme="minorHAnsi" w:hAnsiTheme="minorHAnsi" w:cstheme="minorHAnsi"/>
          <w:noProof/>
        </w:rPr>
        <w:t xml:space="preserve"> </w:t>
      </w:r>
      <w:r w:rsidRPr="00C17933" w:rsidR="00364FB7">
        <w:rPr>
          <w:rFonts w:asciiTheme="minorHAnsi" w:hAnsiTheme="minorHAnsi" w:cstheme="minorHAnsi"/>
          <w:noProof/>
        </w:rPr>
        <w:t xml:space="preserve">Usnesení vlády ČR ze dne 15. června 2020 č. 644 k implementačním plánům programu Digitální Česko (aktualizace pro rok 2020) </w:t>
      </w:r>
      <w:r w:rsidR="00364FB7">
        <w:rPr>
          <w:rFonts w:asciiTheme="minorHAnsi" w:hAnsiTheme="minorHAnsi" w:cstheme="minorHAnsi"/>
          <w:noProof/>
        </w:rPr>
        <w:t xml:space="preserve">uložilo členům vlády </w:t>
      </w:r>
      <w:r w:rsidRPr="00C17933" w:rsidR="00364FB7">
        <w:rPr>
          <w:rFonts w:asciiTheme="minorHAnsi" w:hAnsiTheme="minorHAnsi" w:cstheme="minorHAnsi"/>
          <w:noProof/>
        </w:rPr>
        <w:t>zajistit plnění implementačních plánů programu Digitální Česko</w:t>
      </w:r>
      <w:r w:rsidR="00364FB7">
        <w:rPr>
          <w:rFonts w:asciiTheme="minorHAnsi" w:hAnsiTheme="minorHAnsi" w:cstheme="minorHAnsi"/>
          <w:noProof/>
        </w:rPr>
        <w:t xml:space="preserve"> spolu s</w:t>
      </w:r>
      <w:r>
        <w:t> </w:t>
      </w:r>
      <w:r w:rsidRPr="00C17933" w:rsidR="00364FB7">
        <w:rPr>
          <w:rFonts w:asciiTheme="minorHAnsi" w:hAnsiTheme="minorHAnsi" w:cstheme="minorHAnsi"/>
          <w:noProof/>
        </w:rPr>
        <w:t>přednostní</w:t>
      </w:r>
      <w:r w:rsidR="00364FB7">
        <w:rPr>
          <w:rFonts w:asciiTheme="minorHAnsi" w:hAnsiTheme="minorHAnsi" w:cstheme="minorHAnsi"/>
          <w:noProof/>
        </w:rPr>
        <w:t>m</w:t>
      </w:r>
      <w:r w:rsidRPr="00C17933" w:rsidR="00364FB7">
        <w:rPr>
          <w:rFonts w:asciiTheme="minorHAnsi" w:hAnsiTheme="minorHAnsi" w:cstheme="minorHAnsi"/>
          <w:noProof/>
        </w:rPr>
        <w:t xml:space="preserve"> plnění</w:t>
      </w:r>
      <w:r w:rsidR="00364FB7">
        <w:rPr>
          <w:rFonts w:asciiTheme="minorHAnsi" w:hAnsiTheme="minorHAnsi" w:cstheme="minorHAnsi"/>
          <w:noProof/>
        </w:rPr>
        <w:t>m</w:t>
      </w:r>
      <w:r w:rsidRPr="00C17933" w:rsidR="00364FB7">
        <w:rPr>
          <w:rFonts w:asciiTheme="minorHAnsi" w:hAnsiTheme="minorHAnsi" w:cstheme="minorHAnsi"/>
          <w:noProof/>
        </w:rPr>
        <w:t xml:space="preserve"> prioritních záměrů v souladu s metodikou programu</w:t>
      </w:r>
      <w:r w:rsidR="00364FB7">
        <w:rPr>
          <w:rFonts w:asciiTheme="minorHAnsi" w:hAnsiTheme="minorHAnsi" w:cstheme="minorHAnsi"/>
          <w:noProof/>
        </w:rPr>
        <w:t>.</w:t>
      </w:r>
      <w:r w:rsidRPr="000B7CB1" w:rsidR="00364FB7">
        <w:rPr>
          <w:rFonts w:asciiTheme="minorHAnsi" w:hAnsiTheme="minorHAnsi" w:cstheme="minorHAnsi"/>
        </w:rPr>
        <w:t xml:space="preserve"> </w:t>
      </w:r>
      <w:r w:rsidR="00364FB7">
        <w:rPr>
          <w:rFonts w:asciiTheme="minorHAnsi" w:hAnsiTheme="minorHAnsi" w:cstheme="minorHAnsi"/>
        </w:rPr>
        <w:t xml:space="preserve"> </w:t>
      </w:r>
      <w:bookmarkStart w:id="237" w:name="_Hlk29457120"/>
      <w:bookmarkStart w:id="238" w:name="_Toc7697523"/>
      <w:bookmarkStart w:id="239" w:name="_Toc7698294"/>
      <w:bookmarkStart w:id="240" w:name="_Toc7705145"/>
      <w:bookmarkStart w:id="241" w:name="_Toc7705616"/>
      <w:bookmarkStart w:id="242" w:name="_Toc7706132"/>
      <w:bookmarkStart w:id="243" w:name="_Toc7779527"/>
      <w:bookmarkStart w:id="244" w:name="_Toc10196788"/>
      <w:bookmarkStart w:id="245" w:name="_Toc10196915"/>
      <w:bookmarkStart w:id="246" w:name="_Toc10619807"/>
      <w:bookmarkEnd w:id="228"/>
      <w:bookmarkEnd w:id="229"/>
      <w:bookmarkEnd w:id="230"/>
      <w:bookmarkEnd w:id="231"/>
      <w:bookmarkEnd w:id="232"/>
      <w:bookmarkEnd w:id="233"/>
      <w:bookmarkEnd w:id="234"/>
      <w:bookmarkEnd w:id="235"/>
      <w:bookmarkEnd w:id="236"/>
      <w:r w:rsidR="00691AB7">
        <w:rPr>
          <w:rFonts w:asciiTheme="minorHAnsi" w:hAnsiTheme="minorHAnsi" w:cstheme="minorHAnsi"/>
        </w:rPr>
        <w:t>S</w:t>
      </w:r>
      <w:r w:rsidR="00D458C7">
        <w:rPr>
          <w:rFonts w:asciiTheme="minorHAnsi" w:hAnsiTheme="minorHAnsi" w:cstheme="minorHAnsi"/>
        </w:rPr>
        <w:t>ouběžně s implementačním plánem</w:t>
      </w:r>
      <w:r w:rsidRPr="00C24606" w:rsidR="00276AFF">
        <w:rPr>
          <w:rFonts w:asciiTheme="minorHAnsi" w:hAnsiTheme="minorHAnsi" w:cstheme="minorHAnsi"/>
        </w:rPr>
        <w:t xml:space="preserve"> </w:t>
      </w:r>
      <w:r w:rsidR="00364FB7">
        <w:rPr>
          <w:rFonts w:asciiTheme="minorHAnsi" w:hAnsiTheme="minorHAnsi" w:cstheme="minorHAnsi"/>
        </w:rPr>
        <w:t>2.3 Digitalizace zdravotnictví</w:t>
      </w:r>
      <w:r w:rsidRPr="00C24606" w:rsidR="00364FB7">
        <w:rPr>
          <w:rFonts w:asciiTheme="minorHAnsi" w:hAnsiTheme="minorHAnsi" w:cstheme="minorHAnsi"/>
        </w:rPr>
        <w:t xml:space="preserve"> </w:t>
      </w:r>
      <w:r w:rsidR="009322E7">
        <w:rPr>
          <w:rFonts w:asciiTheme="minorHAnsi" w:hAnsiTheme="minorHAnsi" w:cstheme="minorHAnsi"/>
        </w:rPr>
        <w:t>byl</w:t>
      </w:r>
      <w:r w:rsidRPr="00C24606" w:rsidR="00276AFF">
        <w:rPr>
          <w:rFonts w:asciiTheme="minorHAnsi" w:hAnsiTheme="minorHAnsi" w:cstheme="minorHAnsi"/>
        </w:rPr>
        <w:t xml:space="preserve"> připrav</w:t>
      </w:r>
      <w:r w:rsidR="00B54FC7">
        <w:rPr>
          <w:rFonts w:asciiTheme="minorHAnsi" w:hAnsiTheme="minorHAnsi" w:cstheme="minorHAnsi"/>
        </w:rPr>
        <w:t>en</w:t>
      </w:r>
      <w:r w:rsidRPr="00C24606" w:rsidR="00276AFF">
        <w:rPr>
          <w:rFonts w:asciiTheme="minorHAnsi" w:hAnsiTheme="minorHAnsi" w:cstheme="minorHAnsi"/>
        </w:rPr>
        <w:t xml:space="preserve"> návrh paragrafového znění zákona o elektroni</w:t>
      </w:r>
      <w:r w:rsidR="00F15066">
        <w:rPr>
          <w:rFonts w:asciiTheme="minorHAnsi" w:hAnsiTheme="minorHAnsi" w:cstheme="minorHAnsi"/>
        </w:rPr>
        <w:t>zaci</w:t>
      </w:r>
      <w:r w:rsidRPr="00C24606" w:rsidR="00276AFF">
        <w:rPr>
          <w:rFonts w:asciiTheme="minorHAnsi" w:hAnsiTheme="minorHAnsi" w:cstheme="minorHAnsi"/>
        </w:rPr>
        <w:t xml:space="preserve"> zdravotnictví</w:t>
      </w:r>
      <w:bookmarkEnd w:id="226"/>
      <w:r w:rsidR="00F23D3A">
        <w:rPr>
          <w:rFonts w:asciiTheme="minorHAnsi" w:hAnsiTheme="minorHAnsi" w:cstheme="minorHAnsi"/>
        </w:rPr>
        <w:t xml:space="preserve"> (</w:t>
      </w:r>
      <w:r w:rsidRPr="00F23D3A" w:rsidR="00F23D3A">
        <w:rPr>
          <w:rFonts w:asciiTheme="minorHAnsi" w:hAnsiTheme="minorHAnsi" w:cstheme="minorHAnsi"/>
        </w:rPr>
        <w:t>zákon č.</w:t>
      </w:r>
      <w:r w:rsidR="00576C44">
        <w:rPr>
          <w:rFonts w:asciiTheme="minorHAnsi" w:hAnsiTheme="minorHAnsi" w:cstheme="minorHAnsi"/>
        </w:rPr>
        <w:t> </w:t>
      </w:r>
      <w:r w:rsidRPr="00F23D3A" w:rsidR="00F23D3A">
        <w:rPr>
          <w:rFonts w:asciiTheme="minorHAnsi" w:hAnsiTheme="minorHAnsi" w:cstheme="minorHAnsi"/>
        </w:rPr>
        <w:t>325/2021 Sb, o elektronizaci zdravotnictví</w:t>
      </w:r>
      <w:r w:rsidR="007B2159">
        <w:rPr>
          <w:rFonts w:asciiTheme="minorHAnsi" w:hAnsiTheme="minorHAnsi" w:cstheme="minorHAnsi"/>
        </w:rPr>
        <w:t>)</w:t>
      </w:r>
      <w:r w:rsidR="00E81086">
        <w:rPr>
          <w:rFonts w:asciiTheme="minorHAnsi" w:hAnsiTheme="minorHAnsi" w:cstheme="minorHAnsi"/>
        </w:rPr>
        <w:t>, který</w:t>
      </w:r>
      <w:r w:rsidRPr="00C24606" w:rsidR="00276AFF">
        <w:rPr>
          <w:rFonts w:asciiTheme="minorHAnsi" w:hAnsiTheme="minorHAnsi" w:cstheme="minorHAnsi"/>
        </w:rPr>
        <w:t xml:space="preserve"> </w:t>
      </w:r>
      <w:r w:rsidRPr="00E81086" w:rsidR="00E81086">
        <w:rPr>
          <w:rFonts w:asciiTheme="minorHAnsi" w:hAnsiTheme="minorHAnsi" w:cstheme="minorHAnsi"/>
        </w:rPr>
        <w:t xml:space="preserve">představuje </w:t>
      </w:r>
      <w:r w:rsidR="00FC4F76">
        <w:rPr>
          <w:rFonts w:asciiTheme="minorHAnsi" w:hAnsiTheme="minorHAnsi" w:cstheme="minorHAnsi"/>
        </w:rPr>
        <w:t>základní</w:t>
      </w:r>
      <w:r w:rsidRPr="00E81086" w:rsidR="00E81086">
        <w:rPr>
          <w:rFonts w:asciiTheme="minorHAnsi" w:hAnsiTheme="minorHAnsi" w:cstheme="minorHAnsi"/>
        </w:rPr>
        <w:t xml:space="preserve"> právní úpravu elektronizace stávajících procesů, které probíhají v resortu zdravotnictví</w:t>
      </w:r>
      <w:r w:rsidR="009663C9">
        <w:rPr>
          <w:rFonts w:asciiTheme="minorHAnsi" w:hAnsiTheme="minorHAnsi" w:cstheme="minorHAnsi"/>
        </w:rPr>
        <w:t xml:space="preserve">. </w:t>
      </w:r>
      <w:r w:rsidRPr="00B22243" w:rsidR="00B22243">
        <w:rPr>
          <w:rFonts w:asciiTheme="minorHAnsi" w:hAnsiTheme="minorHAnsi" w:cstheme="minorHAnsi"/>
        </w:rPr>
        <w:t xml:space="preserve">V </w:t>
      </w:r>
      <w:r w:rsidR="0026426A">
        <w:rPr>
          <w:rFonts w:asciiTheme="minorHAnsi" w:hAnsiTheme="minorHAnsi" w:cstheme="minorHAnsi"/>
        </w:rPr>
        <w:t>předchozí</w:t>
      </w:r>
      <w:r w:rsidRPr="00B22243" w:rsidR="00B22243">
        <w:rPr>
          <w:rFonts w:asciiTheme="minorHAnsi" w:hAnsiTheme="minorHAnsi" w:cstheme="minorHAnsi"/>
        </w:rPr>
        <w:t xml:space="preserve"> právní úpravě exist</w:t>
      </w:r>
      <w:r w:rsidR="007B2159">
        <w:rPr>
          <w:rFonts w:asciiTheme="minorHAnsi" w:hAnsiTheme="minorHAnsi" w:cstheme="minorHAnsi"/>
        </w:rPr>
        <w:t>ovaly</w:t>
      </w:r>
      <w:r w:rsidRPr="00B22243" w:rsidR="00B22243">
        <w:rPr>
          <w:rFonts w:asciiTheme="minorHAnsi" w:hAnsiTheme="minorHAnsi" w:cstheme="minorHAnsi"/>
        </w:rPr>
        <w:t xml:space="preserve"> pouze některé prvky zavádějící elektronizaci ve zdravotnictví. </w:t>
      </w:r>
      <w:r w:rsidR="00965204">
        <w:rPr>
          <w:rFonts w:asciiTheme="minorHAnsi" w:hAnsiTheme="minorHAnsi" w:cstheme="minorHAnsi"/>
        </w:rPr>
        <w:t>Předchozí</w:t>
      </w:r>
      <w:r w:rsidRPr="00B22243" w:rsidR="007B2159">
        <w:rPr>
          <w:rFonts w:asciiTheme="minorHAnsi" w:hAnsiTheme="minorHAnsi" w:cstheme="minorHAnsi"/>
        </w:rPr>
        <w:t xml:space="preserve"> </w:t>
      </w:r>
      <w:r w:rsidRPr="00B22243" w:rsidR="00B22243">
        <w:rPr>
          <w:rFonts w:asciiTheme="minorHAnsi" w:hAnsiTheme="minorHAnsi" w:cstheme="minorHAnsi"/>
        </w:rPr>
        <w:t xml:space="preserve">právní úprava </w:t>
      </w:r>
      <w:r w:rsidR="007B2159">
        <w:rPr>
          <w:rFonts w:asciiTheme="minorHAnsi" w:hAnsiTheme="minorHAnsi" w:cstheme="minorHAnsi"/>
        </w:rPr>
        <w:t>byla</w:t>
      </w:r>
      <w:r w:rsidRPr="00B22243" w:rsidR="00B22243">
        <w:rPr>
          <w:rFonts w:asciiTheme="minorHAnsi" w:hAnsiTheme="minorHAnsi" w:cstheme="minorHAnsi"/>
        </w:rPr>
        <w:t xml:space="preserve"> roztříštěná. Tento stav </w:t>
      </w:r>
      <w:r w:rsidR="007B2159">
        <w:rPr>
          <w:rFonts w:asciiTheme="minorHAnsi" w:hAnsiTheme="minorHAnsi" w:cstheme="minorHAnsi"/>
        </w:rPr>
        <w:t>byl</w:t>
      </w:r>
      <w:r w:rsidRPr="00B22243" w:rsidR="00B22243">
        <w:rPr>
          <w:rFonts w:asciiTheme="minorHAnsi" w:hAnsiTheme="minorHAnsi" w:cstheme="minorHAnsi"/>
        </w:rPr>
        <w:t xml:space="preserve"> zcela nevyhovující, neboť roztříštěná podoba dílčích právních úprav znemožňuje efektivní řízení systémů elektronického zdravotnictví. </w:t>
      </w:r>
      <w:r w:rsidRPr="00DA1101" w:rsidR="00DA1101">
        <w:rPr>
          <w:rFonts w:asciiTheme="minorHAnsi" w:hAnsiTheme="minorHAnsi" w:cstheme="minorHAnsi"/>
        </w:rPr>
        <w:t xml:space="preserve">Základním principem, ze kterého </w:t>
      </w:r>
      <w:r w:rsidR="000370BF">
        <w:rPr>
          <w:rFonts w:asciiTheme="minorHAnsi" w:hAnsiTheme="minorHAnsi" w:cstheme="minorHAnsi"/>
        </w:rPr>
        <w:t>zákon o elektronizaci zdravotnictví</w:t>
      </w:r>
      <w:r w:rsidRPr="00DA1101" w:rsidR="00DA1101">
        <w:rPr>
          <w:rFonts w:asciiTheme="minorHAnsi" w:hAnsiTheme="minorHAnsi" w:cstheme="minorHAnsi"/>
        </w:rPr>
        <w:t xml:space="preserve"> vychází, je </w:t>
      </w:r>
      <w:r w:rsidRPr="00DA1101" w:rsidR="00364FB7">
        <w:rPr>
          <w:rFonts w:asciiTheme="minorHAnsi" w:hAnsiTheme="minorHAnsi" w:cstheme="minorHAnsi"/>
        </w:rPr>
        <w:t>respekt,</w:t>
      </w:r>
      <w:r w:rsidRPr="00DA1101" w:rsidR="00DA1101">
        <w:rPr>
          <w:rFonts w:asciiTheme="minorHAnsi" w:hAnsiTheme="minorHAnsi" w:cstheme="minorHAnsi"/>
        </w:rPr>
        <w:t xml:space="preserve"> k již existujícím procesům ve zdravotnictví a jejich uvedení do souladu s</w:t>
      </w:r>
      <w:r w:rsidR="00C36C19">
        <w:rPr>
          <w:rFonts w:asciiTheme="minorHAnsi" w:hAnsiTheme="minorHAnsi" w:cstheme="minorHAnsi"/>
        </w:rPr>
        <w:t>e</w:t>
      </w:r>
      <w:r w:rsidRPr="00DA1101" w:rsidR="00DA1101">
        <w:rPr>
          <w:rFonts w:asciiTheme="minorHAnsi" w:hAnsiTheme="minorHAnsi" w:cstheme="minorHAnsi"/>
        </w:rPr>
        <w:t xml:space="preserve"> zákonem o elektronizaci zdravotnictví. </w:t>
      </w:r>
      <w:r w:rsidR="00C36C19">
        <w:rPr>
          <w:rFonts w:asciiTheme="minorHAnsi" w:hAnsiTheme="minorHAnsi" w:cstheme="minorHAnsi"/>
        </w:rPr>
        <w:t>Přijatý</w:t>
      </w:r>
      <w:r w:rsidRPr="00DA1101" w:rsidR="00C36C19">
        <w:rPr>
          <w:rFonts w:asciiTheme="minorHAnsi" w:hAnsiTheme="minorHAnsi" w:cstheme="minorHAnsi"/>
        </w:rPr>
        <w:t xml:space="preserve"> </w:t>
      </w:r>
      <w:r w:rsidRPr="00DA1101" w:rsidR="00DA1101">
        <w:rPr>
          <w:rFonts w:asciiTheme="minorHAnsi" w:hAnsiTheme="minorHAnsi" w:cstheme="minorHAnsi"/>
        </w:rPr>
        <w:t xml:space="preserve">zákon o elektronizaci zdravotnictví navazuje na již právní úpravou zavedený systém, kdy poskytování zdravotních služeb a vše, co s tím souvisí, tedy i vedení zdravotnické dokumentace, je právně upraveno zákonem o zdravotních službách. Nicméně </w:t>
      </w:r>
      <w:r w:rsidR="001D5732">
        <w:rPr>
          <w:rFonts w:asciiTheme="minorHAnsi" w:hAnsiTheme="minorHAnsi" w:cstheme="minorHAnsi"/>
        </w:rPr>
        <w:t>bylo</w:t>
      </w:r>
      <w:r w:rsidRPr="00DA1101" w:rsidR="00DA1101">
        <w:rPr>
          <w:rFonts w:asciiTheme="minorHAnsi" w:hAnsiTheme="minorHAnsi" w:cstheme="minorHAnsi"/>
        </w:rPr>
        <w:t xml:space="preserve"> nutné změnit platnou právní </w:t>
      </w:r>
      <w:r w:rsidRPr="00DA1101" w:rsidR="00576C44">
        <w:rPr>
          <w:rFonts w:asciiTheme="minorHAnsi" w:hAnsiTheme="minorHAnsi" w:cstheme="minorHAnsi"/>
        </w:rPr>
        <w:t>úpravu – parametrizovat</w:t>
      </w:r>
      <w:r w:rsidRPr="00DA1101" w:rsidR="00DA1101">
        <w:rPr>
          <w:rFonts w:asciiTheme="minorHAnsi" w:hAnsiTheme="minorHAnsi" w:cstheme="minorHAnsi"/>
        </w:rPr>
        <w:t xml:space="preserve"> vedení zdravotnické dokumentace v elektronické podobě, což </w:t>
      </w:r>
      <w:r w:rsidR="001D5732">
        <w:rPr>
          <w:rFonts w:asciiTheme="minorHAnsi" w:hAnsiTheme="minorHAnsi" w:cstheme="minorHAnsi"/>
        </w:rPr>
        <w:t>bylo</w:t>
      </w:r>
      <w:r w:rsidRPr="00DA1101" w:rsidR="00DA1101">
        <w:rPr>
          <w:rFonts w:asciiTheme="minorHAnsi" w:hAnsiTheme="minorHAnsi" w:cstheme="minorHAnsi"/>
        </w:rPr>
        <w:t xml:space="preserve"> </w:t>
      </w:r>
      <w:r w:rsidR="00163569">
        <w:rPr>
          <w:rFonts w:asciiTheme="minorHAnsi" w:hAnsiTheme="minorHAnsi" w:cstheme="minorHAnsi"/>
        </w:rPr>
        <w:t>provedeno</w:t>
      </w:r>
      <w:r w:rsidRPr="00DA1101" w:rsidR="00163569">
        <w:rPr>
          <w:rFonts w:asciiTheme="minorHAnsi" w:hAnsiTheme="minorHAnsi" w:cstheme="minorHAnsi"/>
        </w:rPr>
        <w:t xml:space="preserve"> </w:t>
      </w:r>
      <w:r w:rsidRPr="00DA1101" w:rsidR="00DA1101">
        <w:rPr>
          <w:rFonts w:asciiTheme="minorHAnsi" w:hAnsiTheme="minorHAnsi" w:cstheme="minorHAnsi"/>
        </w:rPr>
        <w:t>změnou zákona o zdravotních službách</w:t>
      </w:r>
      <w:r w:rsidR="001D5732">
        <w:rPr>
          <w:rFonts w:asciiTheme="minorHAnsi" w:hAnsiTheme="minorHAnsi" w:cstheme="minorHAnsi"/>
        </w:rPr>
        <w:t>, která byla rovněž přijata</w:t>
      </w:r>
      <w:r w:rsidRPr="00DA1101" w:rsidR="00DA1101">
        <w:rPr>
          <w:rFonts w:asciiTheme="minorHAnsi" w:hAnsiTheme="minorHAnsi" w:cstheme="minorHAnsi"/>
        </w:rPr>
        <w:t>. Zároveň je nutno sjedno</w:t>
      </w:r>
      <w:r w:rsidR="00F2371E">
        <w:rPr>
          <w:rFonts w:asciiTheme="minorHAnsi" w:hAnsiTheme="minorHAnsi" w:cstheme="minorHAnsi"/>
        </w:rPr>
        <w:t>covat</w:t>
      </w:r>
      <w:r w:rsidRPr="00DA1101" w:rsidR="00DA1101">
        <w:rPr>
          <w:rFonts w:asciiTheme="minorHAnsi" w:hAnsiTheme="minorHAnsi" w:cstheme="minorHAnsi"/>
        </w:rPr>
        <w:t xml:space="preserve"> pravidla pro její uchovávání, a proto </w:t>
      </w:r>
      <w:r w:rsidR="00F2371E">
        <w:rPr>
          <w:rFonts w:asciiTheme="minorHAnsi" w:hAnsiTheme="minorHAnsi" w:cstheme="minorHAnsi"/>
        </w:rPr>
        <w:t>byla</w:t>
      </w:r>
      <w:r w:rsidRPr="00DA1101" w:rsidR="00DA1101">
        <w:rPr>
          <w:rFonts w:asciiTheme="minorHAnsi" w:hAnsiTheme="minorHAnsi" w:cstheme="minorHAnsi"/>
        </w:rPr>
        <w:t xml:space="preserve"> navrhována i změna zákona o archivnictví a spisové službě tak, aby bylo zajištěno jednotné vedení zdravotnické dokumentace jak pro veřejnoprávní, tak i pro soukromoprávní původce.</w:t>
      </w:r>
      <w:bookmarkEnd w:id="227"/>
      <w:r w:rsidRPr="00DA1101" w:rsidR="00DA1101">
        <w:rPr>
          <w:rFonts w:asciiTheme="minorHAnsi" w:hAnsiTheme="minorHAnsi" w:cstheme="minorHAnsi"/>
        </w:rPr>
        <w:t xml:space="preserve"> </w:t>
      </w:r>
    </w:p>
    <w:p w:rsidR="00576C44" w:rsidP="00DA1101" w14:paraId="5DCDCC5D" w14:textId="77777777">
      <w:pPr>
        <w:jc w:val="both"/>
        <w:outlineLvl w:val="0"/>
        <w:rPr>
          <w:rFonts w:asciiTheme="minorHAnsi" w:hAnsiTheme="minorHAnsi" w:cstheme="minorHAnsi"/>
        </w:rPr>
      </w:pPr>
    </w:p>
    <w:p w:rsidR="00D8552E" w:rsidP="00B22243" w14:paraId="6124A608" w14:textId="6EAAADF8">
      <w:pPr>
        <w:jc w:val="both"/>
        <w:outlineLvl w:val="0"/>
        <w:rPr>
          <w:rFonts w:asciiTheme="minorHAnsi" w:hAnsiTheme="minorHAnsi" w:cstheme="minorHAnsi"/>
        </w:rPr>
      </w:pPr>
      <w:bookmarkStart w:id="247" w:name="_Toc256000004"/>
      <w:r w:rsidRPr="00B22243">
        <w:rPr>
          <w:rFonts w:asciiTheme="minorHAnsi" w:hAnsiTheme="minorHAnsi" w:cstheme="minorHAnsi"/>
        </w:rPr>
        <w:t>Roztříštěnost právní úpravy prvků elektronizace zdravotnictví také neumožň</w:t>
      </w:r>
      <w:r w:rsidR="00550546">
        <w:rPr>
          <w:rFonts w:asciiTheme="minorHAnsi" w:hAnsiTheme="minorHAnsi" w:cstheme="minorHAnsi"/>
        </w:rPr>
        <w:t>ovala</w:t>
      </w:r>
      <w:r w:rsidRPr="00B22243">
        <w:rPr>
          <w:rFonts w:asciiTheme="minorHAnsi" w:hAnsiTheme="minorHAnsi" w:cstheme="minorHAnsi"/>
        </w:rPr>
        <w:t xml:space="preserve"> systémové zavedení moderních a společných pravidel ochrany osobních údajů a požadavků kybernetické bezpečnosti, což lze označit za principiální nedostatek řešitelný pouze ucelenou právní úpravou elektronizace zdravotnictví jako </w:t>
      </w:r>
      <w:r w:rsidRPr="00B22243">
        <w:rPr>
          <w:rFonts w:asciiTheme="minorHAnsi" w:hAnsiTheme="minorHAnsi" w:cstheme="minorHAnsi"/>
        </w:rPr>
        <w:t xml:space="preserve">celku. </w:t>
      </w:r>
      <w:r w:rsidR="00B57555">
        <w:rPr>
          <w:rFonts w:asciiTheme="minorHAnsi" w:hAnsiTheme="minorHAnsi" w:cstheme="minorHAnsi"/>
        </w:rPr>
        <w:t>Z</w:t>
      </w:r>
      <w:r w:rsidRPr="00B22243">
        <w:rPr>
          <w:rFonts w:asciiTheme="minorHAnsi" w:hAnsiTheme="minorHAnsi" w:cstheme="minorHAnsi"/>
        </w:rPr>
        <w:t>ákon zaji</w:t>
      </w:r>
      <w:r w:rsidR="000A3207">
        <w:rPr>
          <w:rFonts w:asciiTheme="minorHAnsi" w:hAnsiTheme="minorHAnsi" w:cstheme="minorHAnsi"/>
        </w:rPr>
        <w:t>šťuje</w:t>
      </w:r>
      <w:r w:rsidRPr="00B22243">
        <w:rPr>
          <w:rFonts w:asciiTheme="minorHAnsi" w:hAnsiTheme="minorHAnsi" w:cstheme="minorHAnsi"/>
        </w:rPr>
        <w:t xml:space="preserve"> potřebný soulad s naplněním požadavků podle následujících právních předpisů a</w:t>
      </w:r>
      <w:r w:rsidR="00576C44">
        <w:rPr>
          <w:rFonts w:asciiTheme="minorHAnsi" w:hAnsiTheme="minorHAnsi" w:cstheme="minorHAnsi"/>
        </w:rPr>
        <w:t> </w:t>
      </w:r>
      <w:r w:rsidRPr="00B22243">
        <w:rPr>
          <w:rFonts w:asciiTheme="minorHAnsi" w:hAnsiTheme="minorHAnsi" w:cstheme="minorHAnsi"/>
        </w:rPr>
        <w:t>zákonů z oblasti ochrany osobních údajů a kybernetické bezpečnosti</w:t>
      </w:r>
      <w:r>
        <w:rPr>
          <w:rFonts w:asciiTheme="minorHAnsi" w:hAnsiTheme="minorHAnsi" w:cstheme="minorHAnsi"/>
        </w:rPr>
        <w:t>.</w:t>
      </w:r>
      <w:bookmarkEnd w:id="247"/>
    </w:p>
    <w:bookmarkEnd w:id="237"/>
    <w:bookmarkEnd w:id="238"/>
    <w:bookmarkEnd w:id="239"/>
    <w:bookmarkEnd w:id="240"/>
    <w:bookmarkEnd w:id="241"/>
    <w:bookmarkEnd w:id="242"/>
    <w:bookmarkEnd w:id="243"/>
    <w:bookmarkEnd w:id="244"/>
    <w:bookmarkEnd w:id="245"/>
    <w:bookmarkEnd w:id="246"/>
    <w:p w:rsidR="009663C9" w:rsidRPr="00C24606" w:rsidP="00C709C0" w14:paraId="5A3E08C5" w14:textId="2114C069">
      <w:pPr>
        <w:jc w:val="both"/>
        <w:outlineLvl w:val="0"/>
        <w:rPr>
          <w:rFonts w:asciiTheme="minorHAnsi" w:hAnsiTheme="minorHAnsi" w:cstheme="minorHAnsi"/>
        </w:rPr>
      </w:pPr>
    </w:p>
    <w:p w:rsidR="00B61AC2" w:rsidP="00C709C0" w14:paraId="09C043F4" w14:textId="4AEF1953">
      <w:pPr>
        <w:pStyle w:val="Default"/>
        <w:jc w:val="both"/>
        <w:rPr>
          <w:rFonts w:asciiTheme="minorHAnsi" w:hAnsiTheme="minorHAnsi" w:cstheme="minorHAnsi"/>
          <w:noProof/>
        </w:rPr>
      </w:pPr>
      <w:r w:rsidRPr="00C24606">
        <w:rPr>
          <w:rFonts w:asciiTheme="minorHAnsi" w:hAnsiTheme="minorHAnsi" w:cstheme="minorHAnsi"/>
          <w:noProof/>
        </w:rPr>
        <w:t xml:space="preserve">Dosažení dílčích cílů a specifického cíle </w:t>
      </w:r>
      <w:r w:rsidRPr="00C24606" w:rsidR="00C32DCF">
        <w:rPr>
          <w:rFonts w:asciiTheme="minorHAnsi" w:hAnsiTheme="minorHAnsi" w:cstheme="minorHAnsi"/>
          <w:noProof/>
        </w:rPr>
        <w:t xml:space="preserve">Digitalizace zdravotnictví </w:t>
      </w:r>
      <w:r w:rsidR="000A3207">
        <w:rPr>
          <w:rFonts w:asciiTheme="minorHAnsi" w:hAnsiTheme="minorHAnsi" w:cstheme="minorHAnsi"/>
          <w:noProof/>
        </w:rPr>
        <w:t>je</w:t>
      </w:r>
      <w:r w:rsidRPr="00C24606">
        <w:rPr>
          <w:rFonts w:asciiTheme="minorHAnsi" w:hAnsiTheme="minorHAnsi" w:cstheme="minorHAnsi"/>
          <w:noProof/>
        </w:rPr>
        <w:t xml:space="preserve"> realizováno prostřednictvím aktivit</w:t>
      </w:r>
      <w:r w:rsidRPr="00C24606" w:rsidR="00934310">
        <w:rPr>
          <w:rFonts w:asciiTheme="minorHAnsi" w:hAnsiTheme="minorHAnsi" w:cstheme="minorHAnsi"/>
          <w:noProof/>
        </w:rPr>
        <w:t xml:space="preserve"> v rámci r</w:t>
      </w:r>
      <w:r w:rsidRPr="00C24606">
        <w:rPr>
          <w:rFonts w:asciiTheme="minorHAnsi" w:hAnsiTheme="minorHAnsi" w:cstheme="minorHAnsi"/>
          <w:noProof/>
        </w:rPr>
        <w:t>ozvoj</w:t>
      </w:r>
      <w:r w:rsidRPr="00C24606" w:rsidR="00934310">
        <w:rPr>
          <w:rFonts w:asciiTheme="minorHAnsi" w:hAnsiTheme="minorHAnsi" w:cstheme="minorHAnsi"/>
          <w:noProof/>
        </w:rPr>
        <w:t>e</w:t>
      </w:r>
      <w:r w:rsidRPr="00C24606">
        <w:rPr>
          <w:rFonts w:asciiTheme="minorHAnsi" w:hAnsiTheme="minorHAnsi" w:cstheme="minorHAnsi"/>
          <w:noProof/>
        </w:rPr>
        <w:t xml:space="preserve"> a implementace koncepce digitalizace zdravotnictví včetně institucionalizace elektronického zdravotnictví</w:t>
      </w:r>
      <w:r w:rsidRPr="00C24606" w:rsidR="00934310">
        <w:rPr>
          <w:rFonts w:asciiTheme="minorHAnsi" w:hAnsiTheme="minorHAnsi" w:cstheme="minorHAnsi"/>
          <w:noProof/>
        </w:rPr>
        <w:t>; r</w:t>
      </w:r>
      <w:r w:rsidRPr="00C24606">
        <w:rPr>
          <w:rFonts w:asciiTheme="minorHAnsi" w:hAnsiTheme="minorHAnsi" w:cstheme="minorHAnsi"/>
          <w:noProof/>
        </w:rPr>
        <w:t>ealizac</w:t>
      </w:r>
      <w:r w:rsidRPr="00C24606" w:rsidR="00934310">
        <w:rPr>
          <w:rFonts w:asciiTheme="minorHAnsi" w:hAnsiTheme="minorHAnsi" w:cstheme="minorHAnsi"/>
          <w:noProof/>
        </w:rPr>
        <w:t>í</w:t>
      </w:r>
      <w:r w:rsidRPr="00C24606">
        <w:rPr>
          <w:rFonts w:asciiTheme="minorHAnsi" w:hAnsiTheme="minorHAnsi" w:cstheme="minorHAnsi"/>
          <w:noProof/>
        </w:rPr>
        <w:t xml:space="preserve"> cílů Národní strategie elektronického zdravotnictví a opatření Akčního plánu</w:t>
      </w:r>
      <w:r w:rsidRPr="00C24606" w:rsidR="00601730">
        <w:rPr>
          <w:rFonts w:asciiTheme="minorHAnsi" w:hAnsiTheme="minorHAnsi" w:cstheme="minorHAnsi"/>
          <w:noProof/>
        </w:rPr>
        <w:t xml:space="preserve"> Národní strategie</w:t>
      </w:r>
      <w:r w:rsidRPr="00C24606" w:rsidR="00934310">
        <w:rPr>
          <w:rFonts w:asciiTheme="minorHAnsi" w:hAnsiTheme="minorHAnsi" w:cstheme="minorHAnsi"/>
          <w:noProof/>
        </w:rPr>
        <w:t xml:space="preserve">; </w:t>
      </w:r>
      <w:bookmarkStart w:id="248" w:name="_Hlk31087581"/>
      <w:r w:rsidRPr="00C24606" w:rsidR="00934310">
        <w:rPr>
          <w:rFonts w:asciiTheme="minorHAnsi" w:hAnsiTheme="minorHAnsi" w:cstheme="minorHAnsi"/>
          <w:noProof/>
        </w:rPr>
        <w:t>n</w:t>
      </w:r>
      <w:r w:rsidRPr="00C24606">
        <w:rPr>
          <w:rFonts w:asciiTheme="minorHAnsi" w:hAnsiTheme="minorHAnsi" w:cstheme="minorHAnsi"/>
          <w:noProof/>
        </w:rPr>
        <w:t>aplňování</w:t>
      </w:r>
      <w:r w:rsidRPr="00C24606" w:rsidR="00263E55">
        <w:rPr>
          <w:rFonts w:asciiTheme="minorHAnsi" w:hAnsiTheme="minorHAnsi" w:cstheme="minorHAnsi"/>
          <w:noProof/>
        </w:rPr>
        <w:t>m</w:t>
      </w:r>
      <w:r w:rsidRPr="00C24606">
        <w:rPr>
          <w:rFonts w:asciiTheme="minorHAnsi" w:hAnsiTheme="minorHAnsi" w:cstheme="minorHAnsi"/>
          <w:noProof/>
        </w:rPr>
        <w:t xml:space="preserve"> cílů vládního programu Digitální Česko (Digitální ekonomika a společnost, </w:t>
      </w:r>
      <w:r w:rsidR="00F15066">
        <w:rPr>
          <w:rFonts w:asciiTheme="minorHAnsi" w:hAnsiTheme="minorHAnsi" w:cstheme="minorHAnsi"/>
          <w:noProof/>
        </w:rPr>
        <w:t>I</w:t>
      </w:r>
      <w:r w:rsidRPr="00C24606">
        <w:rPr>
          <w:rFonts w:asciiTheme="minorHAnsi" w:hAnsiTheme="minorHAnsi" w:cstheme="minorHAnsi"/>
          <w:noProof/>
        </w:rPr>
        <w:t>nformační koncepce Digitálního Česka)</w:t>
      </w:r>
      <w:r w:rsidRPr="00C24606" w:rsidR="00934310">
        <w:rPr>
          <w:rFonts w:asciiTheme="minorHAnsi" w:hAnsiTheme="minorHAnsi" w:cstheme="minorHAnsi"/>
          <w:noProof/>
        </w:rPr>
        <w:t xml:space="preserve"> spolu s r</w:t>
      </w:r>
      <w:r w:rsidRPr="00C24606">
        <w:rPr>
          <w:rFonts w:asciiTheme="minorHAnsi" w:hAnsiTheme="minorHAnsi" w:cstheme="minorHAnsi"/>
          <w:noProof/>
        </w:rPr>
        <w:t>ealizac</w:t>
      </w:r>
      <w:r w:rsidRPr="00C24606" w:rsidR="00263E55">
        <w:rPr>
          <w:rFonts w:asciiTheme="minorHAnsi" w:hAnsiTheme="minorHAnsi" w:cstheme="minorHAnsi"/>
          <w:noProof/>
        </w:rPr>
        <w:t>í</w:t>
      </w:r>
      <w:r w:rsidRPr="00C24606">
        <w:rPr>
          <w:rFonts w:asciiTheme="minorHAnsi" w:hAnsiTheme="minorHAnsi" w:cstheme="minorHAnsi"/>
          <w:noProof/>
        </w:rPr>
        <w:t xml:space="preserve"> záměrů implementačních plánů vládního programu Digitální Česko</w:t>
      </w:r>
      <w:r w:rsidRPr="00C24606" w:rsidR="00934310">
        <w:rPr>
          <w:rFonts w:asciiTheme="minorHAnsi" w:hAnsiTheme="minorHAnsi" w:cstheme="minorHAnsi"/>
          <w:noProof/>
        </w:rPr>
        <w:t xml:space="preserve">. </w:t>
      </w:r>
      <w:bookmarkEnd w:id="248"/>
      <w:r w:rsidR="00C06457">
        <w:rPr>
          <w:rFonts w:asciiTheme="minorHAnsi" w:hAnsiTheme="minorHAnsi" w:cstheme="minorHAnsi"/>
          <w:noProof/>
        </w:rPr>
        <w:t>A toto v</w:t>
      </w:r>
      <w:r w:rsidRPr="00C24606" w:rsidR="00934310">
        <w:rPr>
          <w:rFonts w:asciiTheme="minorHAnsi" w:hAnsiTheme="minorHAnsi" w:cstheme="minorHAnsi"/>
          <w:noProof/>
        </w:rPr>
        <w:t>še s p</w:t>
      </w:r>
      <w:r w:rsidRPr="00C24606">
        <w:rPr>
          <w:rFonts w:asciiTheme="minorHAnsi" w:hAnsiTheme="minorHAnsi" w:cstheme="minorHAnsi"/>
          <w:noProof/>
        </w:rPr>
        <w:t>odpor</w:t>
      </w:r>
      <w:r w:rsidRPr="00C24606" w:rsidR="00934310">
        <w:rPr>
          <w:rFonts w:asciiTheme="minorHAnsi" w:hAnsiTheme="minorHAnsi" w:cstheme="minorHAnsi"/>
          <w:noProof/>
        </w:rPr>
        <w:t>ou</w:t>
      </w:r>
      <w:r w:rsidRPr="00C24606">
        <w:rPr>
          <w:rFonts w:asciiTheme="minorHAnsi" w:hAnsiTheme="minorHAnsi" w:cstheme="minorHAnsi"/>
          <w:noProof/>
        </w:rPr>
        <w:t xml:space="preserve"> a zvyšování</w:t>
      </w:r>
      <w:r w:rsidRPr="00C24606" w:rsidR="00934310">
        <w:rPr>
          <w:rFonts w:asciiTheme="minorHAnsi" w:hAnsiTheme="minorHAnsi" w:cstheme="minorHAnsi"/>
          <w:noProof/>
        </w:rPr>
        <w:t>m</w:t>
      </w:r>
      <w:r w:rsidRPr="00C24606">
        <w:rPr>
          <w:rFonts w:asciiTheme="minorHAnsi" w:hAnsiTheme="minorHAnsi" w:cstheme="minorHAnsi"/>
          <w:noProof/>
        </w:rPr>
        <w:t xml:space="preserve"> digitální zdravotní gramotnosti a  využívání</w:t>
      </w:r>
      <w:r w:rsidRPr="00C24606" w:rsidR="00562B17">
        <w:rPr>
          <w:rFonts w:asciiTheme="minorHAnsi" w:hAnsiTheme="minorHAnsi" w:cstheme="minorHAnsi"/>
          <w:noProof/>
        </w:rPr>
        <w:t>m</w:t>
      </w:r>
      <w:r w:rsidRPr="00C24606">
        <w:rPr>
          <w:rFonts w:asciiTheme="minorHAnsi" w:hAnsiTheme="minorHAnsi" w:cstheme="minorHAnsi"/>
          <w:noProof/>
        </w:rPr>
        <w:t xml:space="preserve"> moderních technologií ve zdravotni</w:t>
      </w:r>
      <w:r w:rsidR="007F1853">
        <w:rPr>
          <w:rFonts w:asciiTheme="minorHAnsi" w:hAnsiTheme="minorHAnsi" w:cstheme="minorHAnsi"/>
          <w:noProof/>
        </w:rPr>
        <w:t>c</w:t>
      </w:r>
      <w:r w:rsidRPr="00C24606">
        <w:rPr>
          <w:rFonts w:asciiTheme="minorHAnsi" w:hAnsiTheme="minorHAnsi" w:cstheme="minorHAnsi"/>
          <w:noProof/>
        </w:rPr>
        <w:t>tví</w:t>
      </w:r>
      <w:r w:rsidRPr="00C24606" w:rsidR="00934310">
        <w:rPr>
          <w:rFonts w:asciiTheme="minorHAnsi" w:hAnsiTheme="minorHAnsi" w:cstheme="minorHAnsi"/>
          <w:noProof/>
        </w:rPr>
        <w:t>.</w:t>
      </w:r>
    </w:p>
    <w:p w:rsidR="00A848AF" w:rsidP="00C709C0" w14:paraId="44BC9E93" w14:textId="77777777">
      <w:pPr>
        <w:pStyle w:val="Default"/>
        <w:jc w:val="both"/>
        <w:rPr>
          <w:rFonts w:asciiTheme="minorHAnsi" w:hAnsiTheme="minorHAnsi" w:cstheme="minorHAnsi"/>
          <w:noProof/>
        </w:rPr>
      </w:pPr>
    </w:p>
    <w:p w:rsidR="00D527C5" w:rsidP="00C709C0" w14:paraId="114760B8" w14:textId="44F1940C">
      <w:pPr>
        <w:pStyle w:val="Default"/>
        <w:jc w:val="both"/>
        <w:rPr>
          <w:rFonts w:asciiTheme="minorHAnsi" w:hAnsiTheme="minorHAnsi" w:cstheme="minorHAnsi"/>
          <w:noProof/>
        </w:rPr>
      </w:pPr>
      <w:r w:rsidRPr="00D527C5">
        <w:rPr>
          <w:rFonts w:asciiTheme="minorHAnsi" w:hAnsiTheme="minorHAnsi" w:cstheme="minorHAnsi"/>
          <w:noProof/>
        </w:rPr>
        <w:t>Z pohledu krizové připravenosti zdravotnictví je digitalizace klíčovou oblastí pro krizové plánování a odezvu na krize, včetně schopnosti zvládání pandemií a kybernetických útoků na zdravotnický systém. V těchto situacích musí být garantována možnost propojení klíčových datových zdrojů do chráněných informačních systémů státní správy, např. propojení s Informačním systémem krizového řízení nebo napojení na evropské vyrozumívací systémy</w:t>
      </w:r>
      <w:r w:rsidR="00A848AF">
        <w:rPr>
          <w:rFonts w:asciiTheme="minorHAnsi" w:hAnsiTheme="minorHAnsi" w:cstheme="minorHAnsi"/>
          <w:noProof/>
        </w:rPr>
        <w:t>.</w:t>
      </w:r>
    </w:p>
    <w:p w:rsidR="00C65F97" w:rsidRPr="00F15066" w:rsidP="00C709C0" w14:paraId="11B698B4" w14:textId="77777777">
      <w:pPr>
        <w:pStyle w:val="Default"/>
        <w:jc w:val="both"/>
        <w:rPr>
          <w:rFonts w:asciiTheme="minorHAnsi" w:hAnsiTheme="minorHAnsi" w:cstheme="minorHAnsi"/>
          <w:noProof/>
        </w:rPr>
      </w:pPr>
    </w:p>
    <w:p w:rsidR="00F15066" w:rsidRPr="00F15066" w:rsidP="00C709C0" w14:paraId="08420381" w14:textId="0919A9D2">
      <w:pPr>
        <w:pStyle w:val="Default"/>
        <w:jc w:val="both"/>
        <w:rPr>
          <w:rFonts w:asciiTheme="minorHAnsi" w:hAnsiTheme="minorHAnsi" w:cstheme="minorHAnsi"/>
          <w:noProof/>
        </w:rPr>
      </w:pPr>
      <w:r>
        <w:rPr>
          <w:rFonts w:asciiTheme="minorHAnsi" w:hAnsiTheme="minorHAnsi"/>
        </w:rPr>
        <w:t> V případě</w:t>
      </w:r>
      <w:r w:rsidRPr="00D16FC5">
        <w:rPr>
          <w:rFonts w:asciiTheme="minorHAnsi" w:hAnsiTheme="minorHAnsi"/>
        </w:rPr>
        <w:t xml:space="preserve"> </w:t>
      </w:r>
      <w:r>
        <w:rPr>
          <w:rFonts w:asciiTheme="minorHAnsi" w:hAnsiTheme="minorHAnsi"/>
        </w:rPr>
        <w:t>ohrožení</w:t>
      </w:r>
      <w:r w:rsidRPr="00D16FC5">
        <w:rPr>
          <w:rFonts w:asciiTheme="minorHAnsi" w:hAnsiTheme="minorHAnsi"/>
        </w:rPr>
        <w:t xml:space="preserve"> veřejného zdraví způsobené</w:t>
      </w:r>
      <w:r>
        <w:rPr>
          <w:rFonts w:asciiTheme="minorHAnsi" w:hAnsiTheme="minorHAnsi"/>
        </w:rPr>
        <w:t>ho</w:t>
      </w:r>
      <w:r w:rsidRPr="00D16FC5">
        <w:rPr>
          <w:rFonts w:asciiTheme="minorHAnsi" w:hAnsiTheme="minorHAnsi"/>
        </w:rPr>
        <w:t xml:space="preserve"> </w:t>
      </w:r>
      <w:r>
        <w:rPr>
          <w:rFonts w:asciiTheme="minorHAnsi" w:hAnsiTheme="minorHAnsi"/>
        </w:rPr>
        <w:t>přeshraničním šířením infekčních onemocnění</w:t>
      </w:r>
      <w:r w:rsidRPr="00D16FC5">
        <w:rPr>
          <w:rFonts w:asciiTheme="minorHAnsi" w:hAnsiTheme="minorHAnsi"/>
        </w:rPr>
        <w:t>,</w:t>
      </w:r>
      <w:r w:rsidRPr="00F15066">
        <w:rPr>
          <w:rFonts w:asciiTheme="minorHAnsi" w:hAnsiTheme="minorHAnsi" w:cstheme="minorHAnsi"/>
          <w:noProof/>
        </w:rPr>
        <w:t xml:space="preserve"> povodněmi, kybernetickými útoky a dalšími mimořádnými událostmi čelí zdravotnictví, způsob života, ekonomická stabilita nebývalé výzvě. Digitální technologie zaujímají významnou roli - poskytují důležitý nástroj pro informování veřejnosti a pomoci veřejným orgánům, zdravotnickým organizacím při výměně zdravotních informací. Nezbytnou podmínkou zvládání těchto krizových situací je mapování procesů jednotlivých subjektů zapojených do řešení krize, působících např. v rámci hygienické služby, centrálních evidenčních systémů, telekomunikačních operátorů, silových složek, integrovaného záchranného systému a</w:t>
      </w:r>
      <w:r w:rsidR="00576C44">
        <w:rPr>
          <w:rFonts w:asciiTheme="minorHAnsi" w:hAnsiTheme="minorHAnsi" w:cstheme="minorHAnsi"/>
          <w:noProof/>
        </w:rPr>
        <w:t> </w:t>
      </w:r>
      <w:r w:rsidRPr="00F15066">
        <w:rPr>
          <w:rFonts w:asciiTheme="minorHAnsi" w:hAnsiTheme="minorHAnsi" w:cstheme="minorHAnsi"/>
          <w:noProof/>
        </w:rPr>
        <w:t>informačních systémů jednotlivých krajů.</w:t>
      </w:r>
      <w:r w:rsidR="00D8552E">
        <w:rPr>
          <w:rFonts w:asciiTheme="minorHAnsi" w:hAnsiTheme="minorHAnsi" w:cstheme="minorHAnsi"/>
          <w:noProof/>
        </w:rPr>
        <w:t xml:space="preserve"> </w:t>
      </w:r>
      <w:r w:rsidRPr="00F15066">
        <w:rPr>
          <w:rFonts w:asciiTheme="minorHAnsi" w:hAnsiTheme="minorHAnsi" w:cstheme="minorHAnsi"/>
          <w:noProof/>
        </w:rPr>
        <w:t>Nezbytná je i podpora řešení založených na telemedicíně a</w:t>
      </w:r>
      <w:r w:rsidR="00576C44">
        <w:rPr>
          <w:rFonts w:asciiTheme="minorHAnsi" w:hAnsiTheme="minorHAnsi" w:cstheme="minorHAnsi"/>
          <w:noProof/>
        </w:rPr>
        <w:t> </w:t>
      </w:r>
      <w:r w:rsidRPr="00F15066">
        <w:rPr>
          <w:rFonts w:asciiTheme="minorHAnsi" w:hAnsiTheme="minorHAnsi" w:cstheme="minorHAnsi"/>
          <w:noProof/>
        </w:rPr>
        <w:t xml:space="preserve">mHealth, která usnadní zdravotní péči v situacích, kdy objektivně nebude možné či žádoucí, aby docházelo k fyzickému kontaktu pacienta se zdravotnickým pracovíkem. </w:t>
      </w:r>
    </w:p>
    <w:p w:rsidR="00596C15" w:rsidP="00C709C0" w14:paraId="40B51554" w14:textId="77777777">
      <w:pPr>
        <w:pStyle w:val="Default"/>
        <w:jc w:val="both"/>
        <w:rPr>
          <w:rFonts w:asciiTheme="minorHAnsi" w:hAnsiTheme="minorHAnsi" w:cstheme="minorHAnsi"/>
          <w:noProof/>
        </w:rPr>
      </w:pPr>
    </w:p>
    <w:p w:rsidR="00F15066" w:rsidRPr="00F15066" w:rsidP="00C709C0" w14:paraId="678D2781" w14:textId="3CA27D7E">
      <w:pPr>
        <w:pStyle w:val="Default"/>
        <w:jc w:val="both"/>
        <w:rPr>
          <w:rFonts w:asciiTheme="minorHAnsi" w:hAnsiTheme="minorHAnsi" w:cstheme="minorHAnsi"/>
          <w:noProof/>
        </w:rPr>
      </w:pPr>
      <w:r w:rsidRPr="00F15066">
        <w:rPr>
          <w:rFonts w:asciiTheme="minorHAnsi" w:hAnsiTheme="minorHAnsi" w:cstheme="minorHAnsi"/>
          <w:noProof/>
        </w:rPr>
        <w:t>Aktuální vývoj ve světě nás kategoricky staví před nutnost zvýšení odolnosti zdravotnického systému vůči kybernetickým hrozbám, kdy útočníci zneužívají vyšší zranitelnosti zdravotnických zařízení a správy zdravotnického systému zejména právě v krizových situacích, způsobených např. pandemií, povodněmi či jinými mimořádnými událostmi spadajícími do oblasti medicíny katastrof a krizového řízení ve zdravotnictví.</w:t>
      </w:r>
    </w:p>
    <w:p w:rsidR="00156D9D" w:rsidP="00C709C0" w14:paraId="19ADE881" w14:textId="77777777">
      <w:pPr>
        <w:pStyle w:val="Default"/>
        <w:jc w:val="both"/>
        <w:rPr>
          <w:rFonts w:asciiTheme="minorHAnsi" w:hAnsiTheme="minorHAnsi" w:cstheme="minorHAnsi"/>
          <w:noProof/>
        </w:rPr>
      </w:pPr>
    </w:p>
    <w:p w:rsidR="00F15066" w:rsidRPr="00C24606" w:rsidP="00C709C0" w14:paraId="57472308" w14:textId="1B3FE47D">
      <w:pPr>
        <w:pStyle w:val="Default"/>
        <w:jc w:val="both"/>
        <w:rPr>
          <w:rFonts w:asciiTheme="minorHAnsi" w:hAnsiTheme="minorHAnsi" w:cstheme="minorHAnsi"/>
          <w:noProof/>
        </w:rPr>
      </w:pPr>
      <w:r w:rsidRPr="00F15066">
        <w:rPr>
          <w:rFonts w:asciiTheme="minorHAnsi" w:hAnsiTheme="minorHAnsi" w:cstheme="minorHAnsi"/>
          <w:noProof/>
        </w:rPr>
        <w:t>Veškeré aktivity a opatření v rámci specifického cíle</w:t>
      </w:r>
      <w:r w:rsidR="00A848AF">
        <w:rPr>
          <w:rFonts w:asciiTheme="minorHAnsi" w:hAnsiTheme="minorHAnsi" w:cstheme="minorHAnsi"/>
          <w:noProof/>
        </w:rPr>
        <w:t xml:space="preserve"> 2.3</w:t>
      </w:r>
      <w:r w:rsidRPr="00F15066">
        <w:rPr>
          <w:rFonts w:asciiTheme="minorHAnsi" w:hAnsiTheme="minorHAnsi" w:cstheme="minorHAnsi"/>
          <w:noProof/>
        </w:rPr>
        <w:t xml:space="preserve"> Digitalizace zdravotnictví budou probíhat s ohledem na etické principy, přičemž bude brán v potaz aspekt ochrany lidských práv.</w:t>
      </w:r>
    </w:p>
    <w:p w:rsidR="0011096B" w:rsidP="00C709C0" w14:paraId="25CA90CC" w14:textId="77777777">
      <w:pPr>
        <w:jc w:val="both"/>
        <w:rPr>
          <w:rFonts w:asciiTheme="minorHAnsi" w:eastAsiaTheme="minorEastAsia" w:hAnsiTheme="minorHAnsi" w:cstheme="minorHAnsi"/>
          <w:noProof/>
          <w:color w:val="000000"/>
          <w:lang w:eastAsia="en-US"/>
        </w:rPr>
      </w:pPr>
    </w:p>
    <w:p w:rsidR="0068305B" w:rsidRPr="00C24606" w:rsidP="00C709C0" w14:paraId="2FFB9580" w14:textId="7EE80311">
      <w:pPr>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 xml:space="preserve">K naplnění specifického cíle </w:t>
      </w:r>
      <w:r w:rsidRPr="00C24606" w:rsidR="00E1224E">
        <w:rPr>
          <w:rFonts w:asciiTheme="minorHAnsi" w:eastAsiaTheme="minorEastAsia" w:hAnsiTheme="minorHAnsi" w:cstheme="minorHAnsi"/>
          <w:noProof/>
          <w:color w:val="000000"/>
          <w:lang w:eastAsia="en-US"/>
        </w:rPr>
        <w:t>bylo</w:t>
      </w:r>
      <w:r w:rsidRPr="00C24606">
        <w:rPr>
          <w:rFonts w:asciiTheme="minorHAnsi" w:eastAsiaTheme="minorEastAsia" w:hAnsiTheme="minorHAnsi" w:cstheme="minorHAnsi"/>
          <w:noProof/>
          <w:color w:val="000000"/>
          <w:lang w:eastAsia="en-US"/>
        </w:rPr>
        <w:t xml:space="preserve"> definov</w:t>
      </w:r>
      <w:r w:rsidRPr="00C24606" w:rsidR="00E1224E">
        <w:rPr>
          <w:rFonts w:asciiTheme="minorHAnsi" w:eastAsiaTheme="minorEastAsia" w:hAnsiTheme="minorHAnsi" w:cstheme="minorHAnsi"/>
          <w:noProof/>
          <w:color w:val="000000"/>
          <w:lang w:eastAsia="en-US"/>
        </w:rPr>
        <w:t>áno</w:t>
      </w:r>
      <w:r w:rsidRPr="00C24606">
        <w:rPr>
          <w:rFonts w:asciiTheme="minorHAnsi" w:eastAsiaTheme="minorEastAsia" w:hAnsiTheme="minorHAnsi" w:cstheme="minorHAnsi"/>
          <w:noProof/>
          <w:color w:val="000000"/>
          <w:lang w:eastAsia="en-US"/>
        </w:rPr>
        <w:t xml:space="preserve"> </w:t>
      </w:r>
      <w:r w:rsidRPr="00C24606">
        <w:rPr>
          <w:rFonts w:asciiTheme="minorHAnsi" w:eastAsiaTheme="minorEastAsia" w:hAnsiTheme="minorHAnsi" w:cstheme="minorHAnsi"/>
          <w:noProof/>
          <w:color w:val="000000"/>
          <w:lang w:eastAsia="en-US"/>
        </w:rPr>
        <w:t>6 základních principů elektronizace zdravotnictví:</w:t>
      </w:r>
    </w:p>
    <w:p w:rsidR="0068305B" w:rsidRPr="00C24606" w:rsidP="00C709C0" w14:paraId="61A30945" w14:textId="41DD5FF1">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 xml:space="preserve">Primárním cílem rozvoje </w:t>
      </w:r>
      <w:r w:rsidRPr="00C24606" w:rsidR="00A606AA">
        <w:rPr>
          <w:rFonts w:asciiTheme="minorHAnsi" w:eastAsiaTheme="minorEastAsia" w:hAnsiTheme="minorHAnsi" w:cstheme="minorHAnsi"/>
          <w:noProof/>
          <w:color w:val="000000"/>
          <w:lang w:eastAsia="en-US"/>
        </w:rPr>
        <w:t xml:space="preserve">elektronického zdravotnictví </w:t>
      </w:r>
      <w:r w:rsidRPr="00C24606">
        <w:rPr>
          <w:rFonts w:asciiTheme="minorHAnsi" w:eastAsiaTheme="minorEastAsia" w:hAnsiTheme="minorHAnsi" w:cstheme="minorHAnsi"/>
          <w:noProof/>
          <w:color w:val="000000"/>
          <w:lang w:eastAsia="en-US"/>
        </w:rPr>
        <w:t>musí být přínos pro pacienty a kvalitu zdravotní péče.</w:t>
      </w:r>
    </w:p>
    <w:p w:rsidR="0068305B" w:rsidRPr="00C24606" w:rsidP="00C709C0" w14:paraId="46A777A1" w14:textId="64B68241">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 xml:space="preserve">Právo pacienta na zajištění odpovídající péče; ochrana osobní důstojnosti a ochrana osobních údajů nesmí být zaváděním prostředků </w:t>
      </w:r>
      <w:r w:rsidRPr="00C24606" w:rsidR="00A606AA">
        <w:rPr>
          <w:rFonts w:asciiTheme="minorHAnsi" w:eastAsiaTheme="minorEastAsia" w:hAnsiTheme="minorHAnsi" w:cstheme="minorHAnsi"/>
          <w:noProof/>
          <w:color w:val="000000"/>
          <w:lang w:eastAsia="en-US"/>
        </w:rPr>
        <w:t xml:space="preserve">elektronického zdravotnictví </w:t>
      </w:r>
      <w:r w:rsidRPr="00C24606">
        <w:rPr>
          <w:rFonts w:asciiTheme="minorHAnsi" w:eastAsiaTheme="minorEastAsia" w:hAnsiTheme="minorHAnsi" w:cstheme="minorHAnsi"/>
          <w:noProof/>
          <w:color w:val="000000"/>
          <w:lang w:eastAsia="en-US"/>
        </w:rPr>
        <w:t>oslabena, ale naopak posilována.</w:t>
      </w:r>
    </w:p>
    <w:p w:rsidR="0068305B" w:rsidRPr="00C24606" w:rsidP="00C709C0" w14:paraId="21A533FB" w14:textId="77777777">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Lékaři, další zdravotničtí a jiní odborní pracovníci ve zdravotnictví (dále jen „zdravotničtí pracovníci“) musí být zapojováni do projektů již ve fázi přípravy projektových záměrů, při plánování a tvorbě návrhů řešení, které bude v rámci projektu realizováno. Názory odborné veřejnosti musí být v rámci projektů aktivně získávány a přiměřeně zohledňovány.</w:t>
      </w:r>
    </w:p>
    <w:p w:rsidR="0068305B" w:rsidRPr="00C24606" w:rsidP="00C709C0" w14:paraId="59C7EB84" w14:textId="48AFF26C">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 xml:space="preserve">Před zavedením nových nástrojů a služeb </w:t>
      </w:r>
      <w:r w:rsidRPr="00C24606" w:rsidR="00A606AA">
        <w:rPr>
          <w:rFonts w:asciiTheme="minorHAnsi" w:eastAsiaTheme="minorEastAsia" w:hAnsiTheme="minorHAnsi" w:cstheme="minorHAnsi"/>
          <w:noProof/>
          <w:color w:val="000000"/>
          <w:lang w:eastAsia="en-US"/>
        </w:rPr>
        <w:t>elektronického zdravotnictví</w:t>
      </w:r>
      <w:r w:rsidRPr="00C24606">
        <w:rPr>
          <w:rFonts w:asciiTheme="minorHAnsi" w:eastAsiaTheme="minorEastAsia" w:hAnsiTheme="minorHAnsi" w:cstheme="minorHAnsi"/>
          <w:noProof/>
          <w:color w:val="000000"/>
          <w:lang w:eastAsia="en-US"/>
        </w:rPr>
        <w:t xml:space="preserve"> do praxe musí být vždy dostatečným způsobem ověřena a vyhodnocena jejich použitelnost, kvalita, stabilita a výkonnost.</w:t>
      </w:r>
    </w:p>
    <w:p w:rsidR="0068305B" w:rsidRPr="00C24606" w:rsidP="00C709C0" w14:paraId="65A2FDCB" w14:textId="0A6AD2BC">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 xml:space="preserve">Při zavádění nových služeb a nástrojů </w:t>
      </w:r>
      <w:r w:rsidRPr="00C24606" w:rsidR="00A606AA">
        <w:rPr>
          <w:rFonts w:asciiTheme="minorHAnsi" w:eastAsiaTheme="minorEastAsia" w:hAnsiTheme="minorHAnsi" w:cstheme="minorHAnsi"/>
          <w:noProof/>
          <w:color w:val="000000"/>
          <w:lang w:eastAsia="en-US"/>
        </w:rPr>
        <w:t>elektronického zdravotnictví</w:t>
      </w:r>
      <w:r w:rsidRPr="00C24606">
        <w:rPr>
          <w:rFonts w:asciiTheme="minorHAnsi" w:eastAsiaTheme="minorEastAsia" w:hAnsiTheme="minorHAnsi" w:cstheme="minorHAnsi"/>
          <w:noProof/>
          <w:color w:val="000000"/>
          <w:lang w:eastAsia="en-US"/>
        </w:rPr>
        <w:t xml:space="preserve"> je třeba využívat především pozitivní motivace a zavádět nové technologie postupně a uvážlivě tak, aby nedošlo k ohrožení plynulosti a bezpečnosti poskytování zdravotních služeb, ohrožení</w:t>
      </w:r>
      <w:r w:rsidRPr="00C24606" w:rsidR="00B24F25">
        <w:rPr>
          <w:rFonts w:asciiTheme="minorHAnsi" w:eastAsiaTheme="minorEastAsia" w:hAnsiTheme="minorHAnsi" w:cstheme="minorHAnsi"/>
          <w:noProof/>
          <w:color w:val="000000"/>
          <w:lang w:eastAsia="en-US"/>
        </w:rPr>
        <w:t> </w:t>
      </w:r>
      <w:r w:rsidRPr="00C24606">
        <w:rPr>
          <w:rFonts w:asciiTheme="minorHAnsi" w:eastAsiaTheme="minorEastAsia" w:hAnsiTheme="minorHAnsi" w:cstheme="minorHAnsi"/>
          <w:noProof/>
          <w:color w:val="000000"/>
          <w:lang w:eastAsia="en-US"/>
        </w:rPr>
        <w:t>pacienta nebo zhoršení podmínek práce zdravotnických pracovníků.</w:t>
      </w:r>
    </w:p>
    <w:p w:rsidR="00954CFE" w:rsidP="009236DB" w14:paraId="4804A4D1" w14:textId="1B7D7D96">
      <w:pPr>
        <w:pStyle w:val="ListParagraph"/>
        <w:numPr>
          <w:ilvl w:val="0"/>
          <w:numId w:val="36"/>
        </w:numPr>
        <w:spacing w:before="120"/>
        <w:ind w:left="851" w:hanging="425"/>
        <w:jc w:val="both"/>
        <w:rPr>
          <w:rFonts w:asciiTheme="minorHAnsi" w:eastAsiaTheme="minorEastAsia" w:hAnsiTheme="minorHAnsi" w:cstheme="minorHAnsi"/>
          <w:noProof/>
          <w:color w:val="000000"/>
          <w:lang w:eastAsia="en-US"/>
        </w:rPr>
      </w:pPr>
      <w:r w:rsidRPr="00C24606">
        <w:rPr>
          <w:rFonts w:asciiTheme="minorHAnsi" w:eastAsiaTheme="minorEastAsia" w:hAnsiTheme="minorHAnsi" w:cstheme="minorHAnsi"/>
          <w:noProof/>
          <w:color w:val="000000"/>
          <w:lang w:eastAsia="en-US"/>
        </w:rPr>
        <w:t>Všude, kde je to možné a účelné, je třeba při tvorbě nových řešení využívat veškeré dostupné vědecko-výzkumné poznatky a ověřené technologie, včetně standardů</w:t>
      </w:r>
      <w:r w:rsidR="00DF5F3D">
        <w:rPr>
          <w:rFonts w:asciiTheme="minorHAnsi" w:eastAsiaTheme="minorEastAsia" w:hAnsiTheme="minorHAnsi" w:cstheme="minorHAnsi"/>
          <w:noProof/>
          <w:color w:val="000000"/>
          <w:lang w:eastAsia="en-US"/>
        </w:rPr>
        <w:t xml:space="preserve"> </w:t>
      </w:r>
      <w:r w:rsidRPr="00C24606">
        <w:rPr>
          <w:rFonts w:asciiTheme="minorHAnsi" w:eastAsiaTheme="minorEastAsia" w:hAnsiTheme="minorHAnsi" w:cstheme="minorHAnsi"/>
          <w:noProof/>
          <w:color w:val="000000"/>
          <w:lang w:eastAsia="en-US"/>
        </w:rPr>
        <w:t>pro výměnu a zobrazování zdravotnických informací.</w:t>
      </w:r>
    </w:p>
    <w:p w:rsidR="00576C44" w:rsidP="009236DB" w14:paraId="52092DE0" w14:textId="77777777">
      <w:pPr>
        <w:jc w:val="both"/>
        <w:rPr>
          <w:rFonts w:asciiTheme="minorHAnsi" w:hAnsiTheme="minorHAnsi" w:cstheme="minorHAnsi"/>
        </w:rPr>
      </w:pPr>
    </w:p>
    <w:p w:rsidR="009E4279" w:rsidP="009236DB" w14:paraId="63D4B663" w14:textId="45E08989">
      <w:pPr>
        <w:jc w:val="both"/>
        <w:rPr>
          <w:rFonts w:asciiTheme="minorHAnsi" w:hAnsiTheme="minorHAnsi" w:cstheme="minorHAnsi"/>
        </w:rPr>
      </w:pPr>
      <w:r>
        <w:rPr>
          <w:rFonts w:asciiTheme="minorHAnsi" w:hAnsiTheme="minorHAnsi" w:cstheme="minorHAnsi"/>
        </w:rPr>
        <w:t>V</w:t>
      </w:r>
      <w:r>
        <w:rPr>
          <w:rFonts w:asciiTheme="minorHAnsi" w:hAnsiTheme="minorHAnsi" w:cstheme="minorHAnsi"/>
        </w:rPr>
        <w:t xml:space="preserve">odítkem </w:t>
      </w:r>
      <w:r>
        <w:rPr>
          <w:rFonts w:asciiTheme="minorHAnsi" w:hAnsiTheme="minorHAnsi" w:cstheme="minorHAnsi"/>
        </w:rPr>
        <w:t xml:space="preserve">pro další postup </w:t>
      </w:r>
      <w:r>
        <w:rPr>
          <w:rFonts w:asciiTheme="minorHAnsi" w:hAnsiTheme="minorHAnsi" w:cstheme="minorHAnsi"/>
        </w:rPr>
        <w:t xml:space="preserve">jsou </w:t>
      </w:r>
      <w:r w:rsidR="003C5207">
        <w:rPr>
          <w:rFonts w:asciiTheme="minorHAnsi" w:hAnsiTheme="minorHAnsi" w:cstheme="minorHAnsi"/>
        </w:rPr>
        <w:t xml:space="preserve">i </w:t>
      </w:r>
      <w:r>
        <w:rPr>
          <w:rFonts w:asciiTheme="minorHAnsi" w:hAnsiTheme="minorHAnsi" w:cstheme="minorHAnsi"/>
        </w:rPr>
        <w:t>pro</w:t>
      </w:r>
      <w:r>
        <w:rPr>
          <w:rFonts w:asciiTheme="minorHAnsi" w:hAnsiTheme="minorHAnsi" w:cstheme="minorHAnsi"/>
        </w:rPr>
        <w:t xml:space="preserve"> </w:t>
      </w:r>
      <w:r w:rsidR="00FA1D68">
        <w:rPr>
          <w:rFonts w:asciiTheme="minorHAnsi" w:hAnsiTheme="minorHAnsi" w:cstheme="minorHAnsi"/>
        </w:rPr>
        <w:t>„</w:t>
      </w:r>
      <w:r w:rsidRPr="009E4279">
        <w:rPr>
          <w:rFonts w:asciiTheme="minorHAnsi" w:hAnsiTheme="minorHAnsi" w:cstheme="minorHAnsi"/>
        </w:rPr>
        <w:t>Evropské etické zásady pro digitální zdrav</w:t>
      </w:r>
      <w:r w:rsidR="00BB16BE">
        <w:rPr>
          <w:rFonts w:asciiTheme="minorHAnsi" w:hAnsiTheme="minorHAnsi" w:cstheme="minorHAnsi"/>
        </w:rPr>
        <w:t>otnictví</w:t>
      </w:r>
      <w:r w:rsidRPr="009E4279">
        <w:rPr>
          <w:rFonts w:asciiTheme="minorHAnsi" w:hAnsiTheme="minorHAnsi" w:cstheme="minorHAnsi"/>
        </w:rPr>
        <w:t xml:space="preserve">“ přijaté </w:t>
      </w:r>
      <w:r w:rsidR="001228E3">
        <w:rPr>
          <w:rFonts w:asciiTheme="minorHAnsi" w:hAnsiTheme="minorHAnsi" w:cstheme="minorHAnsi"/>
        </w:rPr>
        <w:t xml:space="preserve">23.3.2023 </w:t>
      </w:r>
      <w:r w:rsidRPr="009E4279">
        <w:rPr>
          <w:rFonts w:asciiTheme="minorHAnsi" w:hAnsiTheme="minorHAnsi" w:cstheme="minorHAnsi"/>
        </w:rPr>
        <w:t>na 23. zasedání sítě eHealth Network</w:t>
      </w:r>
      <w:r w:rsidR="001228E3">
        <w:rPr>
          <w:rFonts w:asciiTheme="minorHAnsi" w:hAnsiTheme="minorHAnsi" w:cstheme="minorHAnsi"/>
        </w:rPr>
        <w:t xml:space="preserve"> v Paříži</w:t>
      </w:r>
      <w:r w:rsidR="003C5207">
        <w:rPr>
          <w:rFonts w:asciiTheme="minorHAnsi" w:hAnsiTheme="minorHAnsi" w:cstheme="minorHAnsi"/>
        </w:rPr>
        <w:t>.</w:t>
      </w:r>
    </w:p>
    <w:p w:rsidR="001228E3" w:rsidRPr="00DF5F3D" w:rsidP="00DF5F3D" w14:paraId="40FEF9FB" w14:textId="77777777">
      <w:pPr>
        <w:jc w:val="both"/>
        <w:rPr>
          <w:rFonts w:asciiTheme="minorHAnsi" w:hAnsiTheme="minorHAnsi" w:cstheme="minorHAnsi"/>
        </w:rPr>
      </w:pPr>
    </w:p>
    <w:p w:rsidR="0034008C" w:rsidRPr="00C24606" w:rsidP="00C709C0" w14:paraId="525F4F74" w14:textId="32E02229">
      <w:pPr>
        <w:jc w:val="both"/>
        <w:rPr>
          <w:rFonts w:asciiTheme="minorHAnsi" w:hAnsiTheme="minorHAnsi" w:cstheme="minorHAnsi"/>
        </w:rPr>
      </w:pPr>
      <w:bookmarkStart w:id="249" w:name="_Hlk29463440"/>
      <w:r w:rsidRPr="00C24606">
        <w:rPr>
          <w:rFonts w:asciiTheme="minorHAnsi" w:hAnsiTheme="minorHAnsi" w:cstheme="minorHAnsi"/>
        </w:rPr>
        <w:t>V</w:t>
      </w:r>
      <w:r w:rsidR="00C06457">
        <w:rPr>
          <w:rFonts w:asciiTheme="minorHAnsi" w:hAnsiTheme="minorHAnsi" w:cstheme="minorHAnsi"/>
        </w:rPr>
        <w:t>e Strategickém</w:t>
      </w:r>
      <w:r w:rsidRPr="00C24606">
        <w:rPr>
          <w:rFonts w:asciiTheme="minorHAnsi" w:hAnsiTheme="minorHAnsi" w:cstheme="minorHAnsi"/>
        </w:rPr>
        <w:t xml:space="preserve"> rámci Zdraví </w:t>
      </w:r>
      <w:r w:rsidRPr="00C24606" w:rsidR="00655B6A">
        <w:rPr>
          <w:rFonts w:asciiTheme="minorHAnsi" w:hAnsiTheme="minorHAnsi" w:cstheme="minorHAnsi"/>
        </w:rPr>
        <w:t>203</w:t>
      </w:r>
      <w:r w:rsidR="00655B6A">
        <w:rPr>
          <w:rFonts w:asciiTheme="minorHAnsi" w:hAnsiTheme="minorHAnsi" w:cstheme="minorHAnsi"/>
        </w:rPr>
        <w:t>5</w:t>
      </w:r>
      <w:r w:rsidRPr="00C24606" w:rsidR="00655B6A">
        <w:rPr>
          <w:rFonts w:asciiTheme="minorHAnsi" w:hAnsiTheme="minorHAnsi" w:cstheme="minorHAnsi"/>
        </w:rPr>
        <w:t xml:space="preserve"> </w:t>
      </w:r>
      <w:r w:rsidRPr="00C24606">
        <w:rPr>
          <w:rFonts w:asciiTheme="minorHAnsi" w:hAnsiTheme="minorHAnsi" w:cstheme="minorHAnsi"/>
        </w:rPr>
        <w:t xml:space="preserve">bylo určeno </w:t>
      </w:r>
      <w:r w:rsidRPr="00C24606" w:rsidR="00C11D1F">
        <w:rPr>
          <w:rFonts w:asciiTheme="minorHAnsi" w:hAnsiTheme="minorHAnsi" w:cstheme="minorHAnsi"/>
        </w:rPr>
        <w:t>1</w:t>
      </w:r>
      <w:r w:rsidR="00C11D1F">
        <w:rPr>
          <w:rFonts w:asciiTheme="minorHAnsi" w:hAnsiTheme="minorHAnsi" w:cstheme="minorHAnsi"/>
        </w:rPr>
        <w:t>4</w:t>
      </w:r>
      <w:r w:rsidRPr="00C24606" w:rsidR="00C11D1F">
        <w:rPr>
          <w:rFonts w:asciiTheme="minorHAnsi" w:hAnsiTheme="minorHAnsi" w:cstheme="minorHAnsi"/>
        </w:rPr>
        <w:t xml:space="preserve"> </w:t>
      </w:r>
      <w:r w:rsidRPr="00C24606">
        <w:rPr>
          <w:rFonts w:asciiTheme="minorHAnsi" w:hAnsiTheme="minorHAnsi" w:cstheme="minorHAnsi"/>
        </w:rPr>
        <w:t>dílčích cílů, ke kterým díky realizaci jednotlivých opatření povede implementace tohoto implementačního plánu. Základní přehled uvádí následující tabulka</w:t>
      </w:r>
      <w:bookmarkEnd w:id="249"/>
      <w:r w:rsidRPr="00C24606">
        <w:rPr>
          <w:rFonts w:asciiTheme="minorHAnsi" w:hAnsiTheme="minorHAnsi" w:cstheme="minorHAnsi"/>
        </w:rPr>
        <w:t xml:space="preserve">. </w:t>
      </w:r>
    </w:p>
    <w:p w:rsidR="00B37AF7" w:rsidRPr="00C24606" w:rsidP="00C709C0" w14:paraId="2D77FAAB" w14:textId="77777777">
      <w:pPr>
        <w:jc w:val="both"/>
        <w:rPr>
          <w:rFonts w:asciiTheme="minorHAnsi" w:hAnsiTheme="minorHAnsi" w:cstheme="minorHAnsi"/>
        </w:rPr>
      </w:pPr>
    </w:p>
    <w:p w:rsidR="00C80366" w:rsidRPr="00C24606" w:rsidP="00C709C0" w14:paraId="7B9C05E3" w14:textId="77777777">
      <w:pPr>
        <w:jc w:val="both"/>
        <w:rPr>
          <w:rFonts w:asciiTheme="minorHAnsi" w:hAnsiTheme="minorHAnsi" w:cstheme="minorHAnsi"/>
        </w:rPr>
      </w:pP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0F80C493" w14:textId="77777777" w:rsidTr="00C11F34">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780"/>
        </w:trPr>
        <w:tc>
          <w:tcPr>
            <w:tcW w:w="1432" w:type="dxa"/>
          </w:tcPr>
          <w:p w:rsidR="00C11F34" w:rsidRPr="00B677A8" w:rsidP="00C709C0" w14:paraId="2B9ADE36"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C11F34" w:rsidRPr="00B677A8" w:rsidP="00C709C0" w14:paraId="6F4B841F" w14:textId="77777777">
            <w:pPr>
              <w:jc w:val="both"/>
              <w:rPr>
                <w:rFonts w:asciiTheme="minorHAnsi" w:hAnsiTheme="minorHAnsi" w:cstheme="minorHAnsi"/>
                <w:b/>
                <w:sz w:val="22"/>
                <w:szCs w:val="22"/>
              </w:rPr>
            </w:pPr>
          </w:p>
        </w:tc>
        <w:tc>
          <w:tcPr>
            <w:tcW w:w="7714" w:type="dxa"/>
          </w:tcPr>
          <w:p w:rsidR="00C11F34" w:rsidRPr="00B677A8" w:rsidP="00C709C0" w14:paraId="2D5420F3" w14:textId="642D94BF">
            <w:pPr>
              <w:pStyle w:val="ListParagraph"/>
              <w:numPr>
                <w:ilvl w:val="0"/>
                <w:numId w:val="18"/>
              </w:numPr>
              <w:spacing w:before="60" w:after="60"/>
              <w:ind w:left="1168" w:hanging="808"/>
              <w:jc w:val="both"/>
              <w:rPr>
                <w:rFonts w:asciiTheme="minorHAnsi" w:hAnsiTheme="minorHAnsi" w:cstheme="minorHAnsi"/>
                <w:b/>
                <w:sz w:val="22"/>
                <w:szCs w:val="22"/>
              </w:rPr>
            </w:pPr>
            <w:r w:rsidRPr="00B677A8">
              <w:rPr>
                <w:rFonts w:asciiTheme="minorHAnsi" w:hAnsiTheme="minorHAnsi" w:cstheme="minorHAnsi"/>
                <w:sz w:val="22"/>
                <w:szCs w:val="22"/>
              </w:rPr>
              <w:t xml:space="preserve">Rozvoj a implementace koncepce digitalizace zdravotnictví, institucionalizace elektronického zdravotnictví </w:t>
            </w:r>
          </w:p>
        </w:tc>
      </w:tr>
      <w:tr w14:paraId="796D252A" w14:textId="77777777" w:rsidTr="00C11F34">
        <w:tblPrEx>
          <w:tblW w:w="9146" w:type="dxa"/>
          <w:tblInd w:w="63" w:type="dxa"/>
          <w:tblCellMar>
            <w:left w:w="70" w:type="dxa"/>
            <w:right w:w="70" w:type="dxa"/>
          </w:tblCellMar>
          <w:tblLook w:val="0000"/>
        </w:tblPrEx>
        <w:trPr>
          <w:trHeight w:val="765"/>
        </w:trPr>
        <w:tc>
          <w:tcPr>
            <w:tcW w:w="1432" w:type="dxa"/>
          </w:tcPr>
          <w:p w:rsidR="00C11F34" w:rsidRPr="00B677A8" w:rsidP="00C709C0" w14:paraId="5A01FB04"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C11F34" w:rsidRPr="00B677A8" w:rsidP="00C709C0" w14:paraId="1907AA76" w14:textId="77777777">
            <w:pPr>
              <w:jc w:val="both"/>
              <w:rPr>
                <w:rFonts w:asciiTheme="minorHAnsi" w:hAnsiTheme="minorHAnsi" w:cstheme="minorHAnsi"/>
                <w:b/>
                <w:sz w:val="22"/>
                <w:szCs w:val="22"/>
              </w:rPr>
            </w:pPr>
          </w:p>
        </w:tc>
        <w:tc>
          <w:tcPr>
            <w:tcW w:w="7714" w:type="dxa"/>
          </w:tcPr>
          <w:p w:rsidR="00C11F34" w:rsidRPr="00B677A8" w:rsidP="00C709C0" w14:paraId="20946ED8" w14:textId="43B059EC">
            <w:pPr>
              <w:pStyle w:val="ListParagraph"/>
              <w:numPr>
                <w:ilvl w:val="0"/>
                <w:numId w:val="18"/>
              </w:numPr>
              <w:spacing w:before="60" w:after="60"/>
              <w:ind w:left="1168" w:hanging="808"/>
              <w:jc w:val="both"/>
              <w:rPr>
                <w:rFonts w:asciiTheme="minorHAnsi" w:hAnsiTheme="minorHAnsi" w:cstheme="minorHAnsi"/>
                <w:sz w:val="22"/>
                <w:szCs w:val="22"/>
              </w:rPr>
            </w:pPr>
            <w:r w:rsidRPr="00B677A8">
              <w:rPr>
                <w:rFonts w:asciiTheme="minorHAnsi" w:hAnsiTheme="minorHAnsi" w:cstheme="minorHAnsi"/>
                <w:sz w:val="22"/>
                <w:szCs w:val="22"/>
              </w:rPr>
              <w:t xml:space="preserve">Rozvoj centrální infrastruktury pro sdílení zdravotnické dokumentace, zaručenou a bezpečnou komunikaci a výměnu informací ve zdravotnictví </w:t>
            </w:r>
          </w:p>
        </w:tc>
      </w:tr>
      <w:tr w14:paraId="6BAE5F72" w14:textId="77777777" w:rsidTr="00C11F34">
        <w:tblPrEx>
          <w:tblW w:w="9146" w:type="dxa"/>
          <w:tblInd w:w="63" w:type="dxa"/>
          <w:tblCellMar>
            <w:left w:w="70" w:type="dxa"/>
            <w:right w:w="70" w:type="dxa"/>
          </w:tblCellMar>
          <w:tblLook w:val="0000"/>
        </w:tblPrEx>
        <w:trPr>
          <w:trHeight w:val="540"/>
        </w:trPr>
        <w:tc>
          <w:tcPr>
            <w:tcW w:w="1432" w:type="dxa"/>
          </w:tcPr>
          <w:p w:rsidR="00C11F34" w:rsidRPr="00B677A8" w:rsidP="00C709C0" w14:paraId="5220C53D" w14:textId="29DC94EC">
            <w:pPr>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tc>
        <w:tc>
          <w:tcPr>
            <w:tcW w:w="7714" w:type="dxa"/>
          </w:tcPr>
          <w:p w:rsidR="00C11F34" w:rsidRPr="00B677A8" w:rsidP="00C709C0" w14:paraId="60D5230C" w14:textId="62A01526">
            <w:pPr>
              <w:pStyle w:val="ListParagraph"/>
              <w:numPr>
                <w:ilvl w:val="0"/>
                <w:numId w:val="18"/>
              </w:numPr>
              <w:spacing w:before="60" w:after="60"/>
              <w:ind w:left="1168" w:hanging="808"/>
              <w:jc w:val="both"/>
              <w:rPr>
                <w:rFonts w:asciiTheme="minorHAnsi" w:hAnsiTheme="minorHAnsi" w:cstheme="minorHAnsi"/>
                <w:sz w:val="22"/>
                <w:szCs w:val="22"/>
              </w:rPr>
            </w:pPr>
            <w:r w:rsidRPr="00B677A8">
              <w:rPr>
                <w:rFonts w:asciiTheme="minorHAnsi" w:hAnsiTheme="minorHAnsi" w:cstheme="minorHAnsi"/>
                <w:sz w:val="22"/>
                <w:szCs w:val="22"/>
              </w:rPr>
              <w:t>Rozvoj systému poskytování služeb autoritativních údajů, resortních autoritativních registrů a modelu zaručených dat</w:t>
            </w:r>
          </w:p>
        </w:tc>
      </w:tr>
      <w:tr w14:paraId="61DF8869" w14:textId="77777777" w:rsidTr="00C11F34">
        <w:tblPrEx>
          <w:tblW w:w="9146" w:type="dxa"/>
          <w:tblInd w:w="63" w:type="dxa"/>
          <w:tblCellMar>
            <w:left w:w="70" w:type="dxa"/>
            <w:right w:w="70" w:type="dxa"/>
          </w:tblCellMar>
          <w:tblLook w:val="0000"/>
        </w:tblPrEx>
        <w:trPr>
          <w:trHeight w:val="525"/>
        </w:trPr>
        <w:tc>
          <w:tcPr>
            <w:tcW w:w="1432" w:type="dxa"/>
          </w:tcPr>
          <w:p w:rsidR="00C11F34" w:rsidRPr="00B677A8" w:rsidP="00C709C0" w14:paraId="10D7C9A4" w14:textId="32BD7920">
            <w:pPr>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r w:rsidRPr="00B677A8" w:rsidR="00DB14E5">
              <w:rPr>
                <w:rFonts w:asciiTheme="minorHAnsi" w:hAnsiTheme="minorHAnsi" w:cstheme="minorHAnsi"/>
                <w:b/>
                <w:sz w:val="22"/>
                <w:szCs w:val="22"/>
              </w:rPr>
              <w:t xml:space="preserve"> </w:t>
            </w:r>
          </w:p>
        </w:tc>
        <w:tc>
          <w:tcPr>
            <w:tcW w:w="7714" w:type="dxa"/>
          </w:tcPr>
          <w:p w:rsidR="00C11F34" w:rsidRPr="00B677A8" w:rsidP="00C709C0" w14:paraId="7FE72767" w14:textId="6406DD89">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 xml:space="preserve">Rozvoj Národního zdravotnického informačního systému </w:t>
            </w:r>
          </w:p>
        </w:tc>
      </w:tr>
      <w:tr w14:paraId="0961C6F8" w14:textId="77777777" w:rsidTr="00B677A8">
        <w:tblPrEx>
          <w:tblW w:w="9146" w:type="dxa"/>
          <w:tblInd w:w="63" w:type="dxa"/>
          <w:tblCellMar>
            <w:left w:w="70" w:type="dxa"/>
            <w:right w:w="70" w:type="dxa"/>
          </w:tblCellMar>
          <w:tblLook w:val="0000"/>
        </w:tblPrEx>
        <w:trPr>
          <w:trHeight w:val="675"/>
        </w:trPr>
        <w:tc>
          <w:tcPr>
            <w:tcW w:w="1432" w:type="dxa"/>
            <w:tcBorders>
              <w:top w:val="single" w:sz="4" w:space="0" w:color="auto"/>
              <w:left w:val="single" w:sz="4" w:space="0" w:color="auto"/>
              <w:bottom w:val="single" w:sz="4" w:space="0" w:color="auto"/>
              <w:right w:val="single" w:sz="4" w:space="0" w:color="auto"/>
            </w:tcBorders>
          </w:tcPr>
          <w:p w:rsidR="00811043" w:rsidRPr="00B677A8" w:rsidP="00B677A8" w14:paraId="689DC948" w14:textId="448CD3F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1219F892" w14:textId="6ABAD75F">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Správa systému s rozvojem katalogu služeb elektronického zdravotnictví</w:t>
            </w:r>
          </w:p>
        </w:tc>
      </w:tr>
      <w:tr w14:paraId="6233DD2E"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071AC7FA"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297677EC"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6BC43BB7" w14:textId="1CE55505">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Podpora využívání a standardizace nástrojů elektronického zdravotnictví (nástroje pro standardizaci prostředí digitálního zdravotnictví, interoperabilní prostředí pro uživatele společných sdílených elektronických služeb ve zdravotnictví)</w:t>
            </w:r>
          </w:p>
        </w:tc>
      </w:tr>
      <w:tr w14:paraId="27CFBF4C"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7AB917BB"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29D061F6"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6750F4E4" w14:textId="24FB5DCF">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Podpora využití nových digitálních technologií a postupů v oblasti personalizované medicíny, domácí péče, integrované péče</w:t>
            </w:r>
          </w:p>
        </w:tc>
      </w:tr>
      <w:tr w14:paraId="30559D0F" w14:textId="77777777" w:rsidTr="00B677A8">
        <w:tblPrEx>
          <w:tblW w:w="9146" w:type="dxa"/>
          <w:tblInd w:w="63" w:type="dxa"/>
          <w:tblCellMar>
            <w:left w:w="70" w:type="dxa"/>
            <w:right w:w="70" w:type="dxa"/>
          </w:tblCellMar>
          <w:tblLook w:val="0000"/>
        </w:tblPrEx>
        <w:trPr>
          <w:trHeight w:val="598"/>
        </w:trPr>
        <w:tc>
          <w:tcPr>
            <w:tcW w:w="1432" w:type="dxa"/>
            <w:tcBorders>
              <w:top w:val="single" w:sz="4" w:space="0" w:color="auto"/>
              <w:left w:val="single" w:sz="4" w:space="0" w:color="auto"/>
              <w:bottom w:val="single" w:sz="4" w:space="0" w:color="auto"/>
              <w:right w:val="single" w:sz="4" w:space="0" w:color="auto"/>
            </w:tcBorders>
          </w:tcPr>
          <w:p w:rsidR="00811043" w:rsidRPr="00B677A8" w:rsidP="00B677A8" w14:paraId="2D0C251E" w14:textId="0E49E27A">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7257E0BD" w14:textId="5A4AA27E">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Podpora využití umělé inteligence ve zdravotnictví a implementace na ní založených služeb</w:t>
            </w:r>
          </w:p>
        </w:tc>
      </w:tr>
      <w:tr w14:paraId="6F07A9B2"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B677A8" w14:paraId="7803C735" w14:textId="78ED3480">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0A8D6FD3" w14:textId="7C48A2DF">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Rozvoj vědeckovýzkumné a inovační základny pro digitalizaci zdravotnictví a rozvoj znalostní základny digitálního zdravotnictví</w:t>
            </w:r>
          </w:p>
        </w:tc>
      </w:tr>
      <w:tr w14:paraId="25CC520E"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B677A8" w14:paraId="4724CC30" w14:textId="3F0404D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283C210A" w14:textId="1EB09379">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 xml:space="preserve">Praktické aplikace modelů bezpečného sdílení zdravotních záznamů, </w:t>
            </w:r>
            <w:r w:rsidRPr="00B677A8" w:rsidR="0003546A">
              <w:rPr>
                <w:rFonts w:asciiTheme="minorHAnsi" w:hAnsiTheme="minorHAnsi" w:cstheme="minorHAnsi"/>
                <w:sz w:val="22"/>
                <w:szCs w:val="22"/>
              </w:rPr>
              <w:t xml:space="preserve">uplatnění </w:t>
            </w:r>
            <w:r w:rsidRPr="00B677A8" w:rsidR="006F6049">
              <w:rPr>
                <w:rFonts w:asciiTheme="minorHAnsi" w:hAnsiTheme="minorHAnsi" w:cstheme="minorHAnsi"/>
                <w:sz w:val="22"/>
                <w:szCs w:val="22"/>
              </w:rPr>
              <w:t>t</w:t>
            </w:r>
            <w:r w:rsidRPr="00B677A8" w:rsidR="0003546A">
              <w:rPr>
                <w:rFonts w:asciiTheme="minorHAnsi" w:hAnsiTheme="minorHAnsi" w:cstheme="minorHAnsi"/>
                <w:sz w:val="22"/>
                <w:szCs w:val="22"/>
              </w:rPr>
              <w:t>echnologi</w:t>
            </w:r>
            <w:r w:rsidRPr="00B677A8" w:rsidR="006F6049">
              <w:rPr>
                <w:rFonts w:asciiTheme="minorHAnsi" w:hAnsiTheme="minorHAnsi" w:cstheme="minorHAnsi"/>
                <w:sz w:val="22"/>
                <w:szCs w:val="22"/>
              </w:rPr>
              <w:t>e Blo</w:t>
            </w:r>
            <w:r w:rsidRPr="00B677A8" w:rsidR="00C709C0">
              <w:rPr>
                <w:rFonts w:asciiTheme="minorHAnsi" w:hAnsiTheme="minorHAnsi" w:cstheme="minorHAnsi"/>
                <w:sz w:val="22"/>
                <w:szCs w:val="22"/>
              </w:rPr>
              <w:t>ckc</w:t>
            </w:r>
            <w:r w:rsidRPr="00B677A8" w:rsidR="006F6049">
              <w:rPr>
                <w:rFonts w:asciiTheme="minorHAnsi" w:hAnsiTheme="minorHAnsi" w:cstheme="minorHAnsi"/>
                <w:sz w:val="22"/>
                <w:szCs w:val="22"/>
              </w:rPr>
              <w:t>hain a navazující</w:t>
            </w:r>
            <w:r w:rsidRPr="00B677A8" w:rsidR="00C709C0">
              <w:rPr>
                <w:rFonts w:asciiTheme="minorHAnsi" w:hAnsiTheme="minorHAnsi" w:cstheme="minorHAnsi"/>
                <w:sz w:val="22"/>
                <w:szCs w:val="22"/>
              </w:rPr>
              <w:t>ch</w:t>
            </w:r>
            <w:r w:rsidRPr="00B677A8" w:rsidR="006F6049">
              <w:rPr>
                <w:rFonts w:asciiTheme="minorHAnsi" w:hAnsiTheme="minorHAnsi" w:cstheme="minorHAnsi"/>
                <w:sz w:val="22"/>
                <w:szCs w:val="22"/>
              </w:rPr>
              <w:t xml:space="preserve"> konceptů,</w:t>
            </w:r>
            <w:r w:rsidRPr="00B677A8">
              <w:rPr>
                <w:rFonts w:asciiTheme="minorHAnsi" w:hAnsiTheme="minorHAnsi" w:cstheme="minorHAnsi"/>
                <w:sz w:val="22"/>
                <w:szCs w:val="22"/>
              </w:rPr>
              <w:t xml:space="preserve"> využití konceptů z oblasti Big Data</w:t>
            </w:r>
          </w:p>
        </w:tc>
      </w:tr>
      <w:tr w14:paraId="3AB5738B"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2A749943"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56285F54"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0F7FF3B7" w14:textId="711924DD">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Podpora technologií mobilního zdravotnictví (mHealth) a telemedicíny na všech úrovních poskytování zdravotní péče, zejména u koncových uživatelů (nemocnice, ambulance, pacienti)</w:t>
            </w:r>
          </w:p>
        </w:tc>
      </w:tr>
      <w:tr w14:paraId="218A1A1B"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5E1E80F3"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5345C1DE"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358745B6" w14:textId="0963F13B">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Rozvoj platforem pro komunikaci a koordinaci veřejné správy, průmyslu a akademické sféry pro účely rozvoje digitálních služeb ve zdravotnictví a v péči o zdraví</w:t>
            </w:r>
          </w:p>
        </w:tc>
      </w:tr>
      <w:tr w14:paraId="1FEF7D5C"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4A18401F"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1F60B596"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4758422C" w14:textId="1B939AF1">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Programy rozvoje obecné i specifické digitální gramotnosti pracovníků ve zdravotnictví</w:t>
            </w:r>
          </w:p>
        </w:tc>
      </w:tr>
      <w:tr w14:paraId="4B14E374" w14:textId="77777777" w:rsidTr="00811043">
        <w:tblPrEx>
          <w:tblW w:w="9146" w:type="dxa"/>
          <w:tblInd w:w="63" w:type="dxa"/>
          <w:tblCellMar>
            <w:left w:w="70" w:type="dxa"/>
            <w:right w:w="70" w:type="dxa"/>
          </w:tblCellMar>
          <w:tblLook w:val="0000"/>
        </w:tblPrEx>
        <w:trPr>
          <w:trHeight w:val="810"/>
        </w:trPr>
        <w:tc>
          <w:tcPr>
            <w:tcW w:w="1432" w:type="dxa"/>
            <w:tcBorders>
              <w:top w:val="single" w:sz="4" w:space="0" w:color="auto"/>
              <w:left w:val="single" w:sz="4" w:space="0" w:color="auto"/>
              <w:bottom w:val="single" w:sz="4" w:space="0" w:color="auto"/>
              <w:right w:val="single" w:sz="4" w:space="0" w:color="auto"/>
            </w:tcBorders>
          </w:tcPr>
          <w:p w:rsidR="00811043" w:rsidRPr="00B677A8" w:rsidP="00C709C0" w14:paraId="41A8F110" w14:textId="77777777">
            <w:pPr>
              <w:ind w:left="7"/>
              <w:jc w:val="both"/>
              <w:rPr>
                <w:rFonts w:asciiTheme="minorHAnsi" w:hAnsiTheme="minorHAnsi" w:cstheme="minorHAnsi"/>
                <w:b/>
                <w:sz w:val="22"/>
                <w:szCs w:val="22"/>
              </w:rPr>
            </w:pPr>
            <w:r w:rsidRPr="00B677A8">
              <w:rPr>
                <w:rFonts w:asciiTheme="minorHAnsi" w:hAnsiTheme="minorHAnsi" w:cstheme="minorHAnsi"/>
                <w:b/>
                <w:sz w:val="22"/>
                <w:szCs w:val="22"/>
              </w:rPr>
              <w:t>Číslo a název dílčího cíle</w:t>
            </w:r>
          </w:p>
          <w:p w:rsidR="00811043" w:rsidRPr="00B677A8" w:rsidP="00C709C0" w14:paraId="0934C6F6" w14:textId="77777777">
            <w:pPr>
              <w:ind w:left="7"/>
              <w:jc w:val="both"/>
              <w:rPr>
                <w:rFonts w:asciiTheme="minorHAnsi" w:hAnsiTheme="minorHAnsi" w:cstheme="minorHAnsi"/>
                <w:b/>
                <w:sz w:val="22"/>
                <w:szCs w:val="22"/>
              </w:rPr>
            </w:pPr>
          </w:p>
        </w:tc>
        <w:tc>
          <w:tcPr>
            <w:tcW w:w="7714" w:type="dxa"/>
            <w:tcBorders>
              <w:top w:val="single" w:sz="4" w:space="0" w:color="auto"/>
              <w:left w:val="single" w:sz="4" w:space="0" w:color="auto"/>
              <w:bottom w:val="single" w:sz="4" w:space="0" w:color="auto"/>
              <w:right w:val="single" w:sz="4" w:space="0" w:color="auto"/>
            </w:tcBorders>
          </w:tcPr>
          <w:p w:rsidR="00811043" w:rsidRPr="00B677A8" w:rsidP="00C709C0" w14:paraId="4212174E" w14:textId="08ABC2E1">
            <w:pPr>
              <w:pStyle w:val="ListParagraph"/>
              <w:numPr>
                <w:ilvl w:val="0"/>
                <w:numId w:val="18"/>
              </w:numPr>
              <w:spacing w:before="60" w:after="60"/>
              <w:jc w:val="both"/>
              <w:rPr>
                <w:rFonts w:asciiTheme="minorHAnsi" w:hAnsiTheme="minorHAnsi" w:cstheme="minorHAnsi"/>
                <w:sz w:val="22"/>
                <w:szCs w:val="22"/>
              </w:rPr>
            </w:pPr>
            <w:r w:rsidRPr="00B677A8">
              <w:rPr>
                <w:rFonts w:asciiTheme="minorHAnsi" w:hAnsiTheme="minorHAnsi" w:cstheme="minorHAnsi"/>
                <w:sz w:val="22"/>
                <w:szCs w:val="22"/>
              </w:rPr>
              <w:t>Programy posilující budování důvěry ve služby digitálního zdravotnictví mezi občany i zdravotníky</w:t>
            </w:r>
          </w:p>
        </w:tc>
      </w:tr>
    </w:tbl>
    <w:p w:rsidR="00C80366" w:rsidRPr="00C24606" w:rsidP="00C709C0" w14:paraId="7B66A3FE" w14:textId="6E0E37BB">
      <w:pPr>
        <w:jc w:val="both"/>
        <w:rPr>
          <w:rFonts w:asciiTheme="minorHAnsi" w:hAnsiTheme="minorHAnsi" w:cstheme="minorHAnsi"/>
        </w:rPr>
      </w:pPr>
      <w:r w:rsidRPr="00CD23D4">
        <w:rPr>
          <w:rFonts w:asciiTheme="minorHAnsi" w:hAnsiTheme="minorHAnsi" w:cstheme="minorHAnsi"/>
          <w:sz w:val="20"/>
          <w:szCs w:val="20"/>
        </w:rPr>
        <w:t>Tab. č. 1: Základní přehled dílčích cílů</w:t>
      </w:r>
    </w:p>
    <w:p w:rsidR="00B70D43" w:rsidRPr="00C24606" w:rsidP="00C709C0" w14:paraId="2BAE32B9" w14:textId="77777777">
      <w:pPr>
        <w:jc w:val="both"/>
        <w:rPr>
          <w:rFonts w:asciiTheme="minorHAnsi" w:hAnsiTheme="minorHAnsi" w:cstheme="minorHAnsi"/>
        </w:rPr>
      </w:pPr>
    </w:p>
    <w:p w:rsidR="00514ECA" w:rsidP="00C709C0" w14:paraId="6AD2E1C9" w14:textId="77777777">
      <w:pPr>
        <w:pStyle w:val="Heading1"/>
        <w:numPr>
          <w:ilvl w:val="0"/>
          <w:numId w:val="13"/>
        </w:numPr>
        <w:jc w:val="both"/>
        <w:rPr>
          <w:rFonts w:cstheme="minorHAnsi"/>
        </w:rPr>
        <w:sectPr w:rsidSect="00F23476">
          <w:headerReference w:type="default" r:id="rId12"/>
          <w:footerReference w:type="default" r:id="rId13"/>
          <w:headerReference w:type="first" r:id="rId14"/>
          <w:pgSz w:w="11906" w:h="16838"/>
          <w:pgMar w:top="720" w:right="720" w:bottom="720" w:left="720" w:header="708" w:footer="708" w:gutter="0"/>
          <w:cols w:space="708"/>
          <w:titlePg/>
          <w:docGrid w:linePitch="360"/>
        </w:sectPr>
      </w:pPr>
    </w:p>
    <w:p w:rsidR="00514ECA" w:rsidP="00514ECA" w14:paraId="62AD2D2B" w14:textId="77777777">
      <w:pPr>
        <w:pStyle w:val="Heading1"/>
        <w:ind w:left="720"/>
        <w:jc w:val="both"/>
        <w:rPr>
          <w:rFonts w:cstheme="minorHAnsi"/>
        </w:rPr>
      </w:pPr>
    </w:p>
    <w:p w:rsidR="009952F1" w:rsidRPr="003E7EB8" w:rsidP="003E7EB8" w14:paraId="54DCA8F7" w14:textId="41728D8D">
      <w:pPr>
        <w:pStyle w:val="Heading1"/>
        <w:numPr>
          <w:ilvl w:val="0"/>
          <w:numId w:val="13"/>
        </w:numPr>
        <w:jc w:val="both"/>
        <w:rPr>
          <w:rFonts w:cstheme="minorHAnsi"/>
        </w:rPr>
      </w:pPr>
      <w:bookmarkStart w:id="250" w:name="_Toc256000007"/>
      <w:r w:rsidRPr="003E7EB8">
        <w:rPr>
          <w:rFonts w:cstheme="minorHAnsi"/>
        </w:rPr>
        <w:t>Hierarchická struktura prací a harmonogram realizace</w:t>
      </w:r>
      <w:bookmarkEnd w:id="250"/>
    </w:p>
    <w:p w:rsidR="00B37AF7" w:rsidRPr="00C24606" w:rsidP="00C709C0" w14:paraId="304AE9B1" w14:textId="77777777">
      <w:pPr>
        <w:jc w:val="both"/>
        <w:rPr>
          <w:rFonts w:asciiTheme="minorHAnsi" w:hAnsiTheme="minorHAnsi" w:cstheme="minorHAnsi"/>
        </w:rPr>
      </w:pPr>
    </w:p>
    <w:p w:rsidR="00263E55" w:rsidRPr="00C24606" w:rsidP="00C709C0" w14:paraId="5F2E567E" w14:textId="72564DC0">
      <w:pPr>
        <w:pStyle w:val="Default"/>
        <w:jc w:val="both"/>
        <w:rPr>
          <w:rFonts w:asciiTheme="minorHAnsi" w:hAnsiTheme="minorHAnsi" w:cstheme="minorHAnsi"/>
          <w:noProof/>
        </w:rPr>
      </w:pPr>
      <w:r w:rsidRPr="00C24606">
        <w:rPr>
          <w:rFonts w:asciiTheme="minorHAnsi" w:hAnsiTheme="minorHAnsi" w:cstheme="minorHAnsi"/>
          <w:noProof/>
        </w:rPr>
        <w:t>Základními opatřeními</w:t>
      </w:r>
      <w:r w:rsidRPr="00C24606" w:rsidR="008D32AA">
        <w:rPr>
          <w:rFonts w:asciiTheme="minorHAnsi" w:hAnsiTheme="minorHAnsi" w:cstheme="minorHAnsi"/>
          <w:noProof/>
        </w:rPr>
        <w:t xml:space="preserve">, které povedou </w:t>
      </w:r>
      <w:r w:rsidRPr="00C24606">
        <w:rPr>
          <w:rFonts w:asciiTheme="minorHAnsi" w:hAnsiTheme="minorHAnsi" w:cstheme="minorHAnsi"/>
          <w:noProof/>
        </w:rPr>
        <w:t>k dosažení dílčích cílů specifického cíle</w:t>
      </w:r>
      <w:r w:rsidR="00C06457">
        <w:rPr>
          <w:rFonts w:asciiTheme="minorHAnsi" w:hAnsiTheme="minorHAnsi" w:cstheme="minorHAnsi"/>
          <w:noProof/>
        </w:rPr>
        <w:t>,</w:t>
      </w:r>
      <w:r w:rsidRPr="00C24606">
        <w:rPr>
          <w:rFonts w:asciiTheme="minorHAnsi" w:hAnsiTheme="minorHAnsi" w:cstheme="minorHAnsi"/>
          <w:noProof/>
        </w:rPr>
        <w:t xml:space="preserve"> bud</w:t>
      </w:r>
      <w:r w:rsidR="00C06457">
        <w:rPr>
          <w:rFonts w:asciiTheme="minorHAnsi" w:hAnsiTheme="minorHAnsi" w:cstheme="minorHAnsi"/>
          <w:noProof/>
        </w:rPr>
        <w:t>ou</w:t>
      </w:r>
      <w:r w:rsidRPr="00C24606">
        <w:rPr>
          <w:rFonts w:asciiTheme="minorHAnsi" w:hAnsiTheme="minorHAnsi" w:cstheme="minorHAnsi"/>
          <w:noProof/>
        </w:rPr>
        <w:t>:</w:t>
      </w:r>
    </w:p>
    <w:p w:rsidR="00263E55" w:rsidRPr="00C24606" w:rsidP="00C709C0" w14:paraId="0FB9029B" w14:textId="4A4742C0">
      <w:pPr>
        <w:pStyle w:val="Default"/>
        <w:numPr>
          <w:ilvl w:val="0"/>
          <w:numId w:val="33"/>
        </w:numPr>
        <w:jc w:val="both"/>
        <w:rPr>
          <w:rFonts w:asciiTheme="minorHAnsi" w:hAnsiTheme="minorHAnsi" w:cstheme="minorHAnsi"/>
          <w:noProof/>
        </w:rPr>
      </w:pPr>
      <w:r w:rsidRPr="00C24606">
        <w:rPr>
          <w:rFonts w:asciiTheme="minorHAnsi" w:hAnsiTheme="minorHAnsi" w:cstheme="minorHAnsi"/>
          <w:noProof/>
        </w:rPr>
        <w:t>Rozvoj a implementace koncepce digitalizace zdravotnictví včetně institucionalizace elektronického zdravotnictví</w:t>
      </w:r>
      <w:r w:rsidR="003E0EE3">
        <w:rPr>
          <w:rFonts w:asciiTheme="minorHAnsi" w:hAnsiTheme="minorHAnsi" w:cstheme="minorHAnsi"/>
          <w:noProof/>
        </w:rPr>
        <w:t>.</w:t>
      </w:r>
      <w:r w:rsidRPr="00C24606">
        <w:rPr>
          <w:rFonts w:asciiTheme="minorHAnsi" w:hAnsiTheme="minorHAnsi" w:cstheme="minorHAnsi"/>
          <w:noProof/>
        </w:rPr>
        <w:t xml:space="preserve"> </w:t>
      </w:r>
    </w:p>
    <w:p w:rsidR="00263E55" w:rsidRPr="00C24606" w:rsidP="00C709C0" w14:paraId="47A5BE30" w14:textId="3B6D9262">
      <w:pPr>
        <w:pStyle w:val="Default"/>
        <w:numPr>
          <w:ilvl w:val="0"/>
          <w:numId w:val="33"/>
        </w:numPr>
        <w:jc w:val="both"/>
        <w:rPr>
          <w:rFonts w:asciiTheme="minorHAnsi" w:hAnsiTheme="minorHAnsi" w:cstheme="minorHAnsi"/>
          <w:noProof/>
        </w:rPr>
      </w:pPr>
      <w:r w:rsidRPr="00C24606">
        <w:rPr>
          <w:rFonts w:asciiTheme="minorHAnsi" w:hAnsiTheme="minorHAnsi" w:cstheme="minorHAnsi"/>
          <w:noProof/>
        </w:rPr>
        <w:t>Realizace cílů Národní strategie elektronického zdravotnictví a opatření Akčního plánu</w:t>
      </w:r>
      <w:r w:rsidRPr="00C24606" w:rsidR="00CD22EA">
        <w:rPr>
          <w:rFonts w:asciiTheme="minorHAnsi" w:hAnsiTheme="minorHAnsi" w:cstheme="minorHAnsi"/>
          <w:noProof/>
        </w:rPr>
        <w:t xml:space="preserve"> jako prováděcího dokumentu </w:t>
      </w:r>
      <w:r w:rsidRPr="00C24606" w:rsidR="006067F3">
        <w:rPr>
          <w:rFonts w:asciiTheme="minorHAnsi" w:hAnsiTheme="minorHAnsi" w:cstheme="minorHAnsi"/>
          <w:noProof/>
        </w:rPr>
        <w:t>k Národní strategii elektronického zdravotnictví</w:t>
      </w:r>
      <w:r w:rsidR="008859AC">
        <w:rPr>
          <w:rFonts w:asciiTheme="minorHAnsi" w:hAnsiTheme="minorHAnsi" w:cstheme="minorHAnsi"/>
          <w:noProof/>
        </w:rPr>
        <w:t xml:space="preserve">, aktualizace </w:t>
      </w:r>
      <w:r w:rsidR="00D56B17">
        <w:rPr>
          <w:rFonts w:asciiTheme="minorHAnsi" w:hAnsiTheme="minorHAnsi" w:cstheme="minorHAnsi"/>
          <w:noProof/>
        </w:rPr>
        <w:t>strategie do roku 2035</w:t>
      </w:r>
      <w:r w:rsidR="003E0EE3">
        <w:rPr>
          <w:rFonts w:asciiTheme="minorHAnsi" w:hAnsiTheme="minorHAnsi" w:cstheme="minorHAnsi"/>
          <w:noProof/>
        </w:rPr>
        <w:t>.</w:t>
      </w:r>
      <w:r w:rsidRPr="00C24606" w:rsidR="006067F3">
        <w:rPr>
          <w:rFonts w:asciiTheme="minorHAnsi" w:hAnsiTheme="minorHAnsi" w:cstheme="minorHAnsi"/>
          <w:noProof/>
        </w:rPr>
        <w:t xml:space="preserve"> </w:t>
      </w:r>
    </w:p>
    <w:p w:rsidR="00263E55" w:rsidRPr="00C24606" w:rsidP="00C709C0" w14:paraId="3C7E1506" w14:textId="53693D70">
      <w:pPr>
        <w:pStyle w:val="NormalWeb"/>
        <w:numPr>
          <w:ilvl w:val="0"/>
          <w:numId w:val="33"/>
        </w:numPr>
        <w:jc w:val="both"/>
        <w:rPr>
          <w:rFonts w:asciiTheme="minorHAnsi" w:hAnsiTheme="minorHAnsi" w:cstheme="minorHAnsi"/>
          <w:noProof/>
        </w:rPr>
      </w:pPr>
      <w:r w:rsidRPr="00C24606">
        <w:rPr>
          <w:rFonts w:asciiTheme="minorHAnsi" w:hAnsiTheme="minorHAnsi" w:cstheme="minorHAnsi"/>
          <w:noProof/>
          <w:lang w:eastAsia="en-US"/>
        </w:rPr>
        <w:t>N</w:t>
      </w:r>
      <w:r w:rsidRPr="00C24606">
        <w:rPr>
          <w:rFonts w:asciiTheme="minorHAnsi" w:hAnsiTheme="minorHAnsi" w:cstheme="minorHAnsi"/>
          <w:noProof/>
        </w:rPr>
        <w:t>aplňování cílů vládního programu Digitální Česko (Digitální ekonomika a společnost, informační koncepce Digitálního Česka)</w:t>
      </w:r>
      <w:r w:rsidR="003E0EE3">
        <w:rPr>
          <w:rFonts w:asciiTheme="minorHAnsi" w:hAnsiTheme="minorHAnsi" w:cstheme="minorHAnsi"/>
          <w:noProof/>
        </w:rPr>
        <w:t>.</w:t>
      </w:r>
      <w:r w:rsidR="00A55C5F">
        <w:rPr>
          <w:rFonts w:asciiTheme="minorHAnsi" w:hAnsiTheme="minorHAnsi" w:cstheme="minorHAnsi"/>
          <w:noProof/>
        </w:rPr>
        <w:t xml:space="preserve"> </w:t>
      </w:r>
    </w:p>
    <w:p w:rsidR="00263E55" w:rsidRPr="00C24606" w:rsidP="00C709C0" w14:paraId="4BF95C00" w14:textId="0766E2E8">
      <w:pPr>
        <w:pStyle w:val="NormalWeb"/>
        <w:numPr>
          <w:ilvl w:val="0"/>
          <w:numId w:val="33"/>
        </w:numPr>
        <w:jc w:val="both"/>
        <w:rPr>
          <w:rFonts w:asciiTheme="minorHAnsi" w:hAnsiTheme="minorHAnsi" w:cstheme="minorHAnsi"/>
          <w:noProof/>
          <w:lang w:eastAsia="en-US"/>
        </w:rPr>
      </w:pPr>
      <w:r w:rsidRPr="00C24606">
        <w:rPr>
          <w:rFonts w:asciiTheme="minorHAnsi" w:hAnsiTheme="minorHAnsi" w:cstheme="minorHAnsi"/>
          <w:noProof/>
          <w:lang w:eastAsia="en-US"/>
        </w:rPr>
        <w:t>Realizace záměrů implementačních plánů vládního programu Digitální Česko</w:t>
      </w:r>
      <w:r w:rsidR="003E0EE3">
        <w:rPr>
          <w:rFonts w:asciiTheme="minorHAnsi" w:hAnsiTheme="minorHAnsi" w:cstheme="minorHAnsi"/>
          <w:noProof/>
          <w:lang w:eastAsia="en-US"/>
        </w:rPr>
        <w:t>.</w:t>
      </w:r>
    </w:p>
    <w:p w:rsidR="00263E55" w:rsidRPr="00C24606" w:rsidP="00C709C0" w14:paraId="384B3727" w14:textId="111BA35E">
      <w:pPr>
        <w:pStyle w:val="ListParagraph"/>
        <w:numPr>
          <w:ilvl w:val="0"/>
          <w:numId w:val="33"/>
        </w:numPr>
        <w:spacing w:before="60" w:after="60"/>
        <w:jc w:val="both"/>
        <w:rPr>
          <w:rFonts w:asciiTheme="minorHAnsi" w:hAnsiTheme="minorHAnsi" w:cstheme="minorHAnsi"/>
        </w:rPr>
      </w:pPr>
      <w:r w:rsidRPr="00C24606">
        <w:rPr>
          <w:rFonts w:asciiTheme="minorHAnsi" w:hAnsiTheme="minorHAnsi" w:cstheme="minorHAnsi"/>
        </w:rPr>
        <w:t>Podpora využívání a standardizace nástrojů elektronického zdravotnictví (nástroje pro standardizaci prostředí digitálního zdravotnictví, interoperabilní prostředí pro uživatele společných sdílených elektronických služeb ve zdravotnictví)</w:t>
      </w:r>
      <w:r w:rsidR="003E0EE3">
        <w:rPr>
          <w:rFonts w:asciiTheme="minorHAnsi" w:hAnsiTheme="minorHAnsi" w:cstheme="minorHAnsi"/>
        </w:rPr>
        <w:t>.</w:t>
      </w:r>
    </w:p>
    <w:p w:rsidR="00263E55" w:rsidRPr="00C24606" w:rsidP="00C709C0" w14:paraId="388FB420" w14:textId="060CBBD2">
      <w:pPr>
        <w:pStyle w:val="NormalWeb"/>
        <w:numPr>
          <w:ilvl w:val="0"/>
          <w:numId w:val="33"/>
        </w:numPr>
        <w:jc w:val="both"/>
        <w:rPr>
          <w:rFonts w:asciiTheme="minorHAnsi" w:hAnsiTheme="minorHAnsi" w:cstheme="minorHAnsi"/>
          <w:noProof/>
          <w:lang w:eastAsia="en-US"/>
        </w:rPr>
      </w:pPr>
      <w:r w:rsidRPr="00C24606">
        <w:rPr>
          <w:rFonts w:asciiTheme="minorHAnsi" w:hAnsiTheme="minorHAnsi" w:cstheme="minorHAnsi"/>
          <w:noProof/>
          <w:lang w:eastAsia="en-US"/>
        </w:rPr>
        <w:t>Dobudování základních stavebních kamenů elektronizace zdravotnictví (</w:t>
      </w:r>
      <w:r w:rsidRPr="00C24606">
        <w:rPr>
          <w:rFonts w:asciiTheme="minorHAnsi" w:hAnsiTheme="minorHAnsi" w:cstheme="minorHAnsi"/>
          <w:noProof/>
        </w:rPr>
        <w:t xml:space="preserve">národní zdravotnický informační portál, </w:t>
      </w:r>
      <w:r w:rsidR="009267E1">
        <w:rPr>
          <w:rFonts w:asciiTheme="minorHAnsi" w:hAnsiTheme="minorHAnsi" w:cstheme="minorHAnsi"/>
          <w:noProof/>
        </w:rPr>
        <w:t>referenční</w:t>
      </w:r>
      <w:r w:rsidR="00976B35">
        <w:rPr>
          <w:rFonts w:asciiTheme="minorHAnsi" w:hAnsiTheme="minorHAnsi" w:cstheme="minorHAnsi"/>
          <w:noProof/>
        </w:rPr>
        <w:t xml:space="preserve">, publikační </w:t>
      </w:r>
      <w:r w:rsidR="009267E1">
        <w:rPr>
          <w:rFonts w:asciiTheme="minorHAnsi" w:hAnsiTheme="minorHAnsi" w:cstheme="minorHAnsi"/>
          <w:noProof/>
        </w:rPr>
        <w:t>vrstva</w:t>
      </w:r>
      <w:r w:rsidR="00B64395">
        <w:rPr>
          <w:rFonts w:asciiTheme="minorHAnsi" w:hAnsiTheme="minorHAnsi" w:cstheme="minorHAnsi"/>
          <w:noProof/>
        </w:rPr>
        <w:t xml:space="preserve"> </w:t>
      </w:r>
      <w:r w:rsidR="00976B35">
        <w:rPr>
          <w:rFonts w:asciiTheme="minorHAnsi" w:hAnsiTheme="minorHAnsi" w:cstheme="minorHAnsi"/>
          <w:noProof/>
        </w:rPr>
        <w:t>r</w:t>
      </w:r>
      <w:r w:rsidR="00B64395">
        <w:rPr>
          <w:rFonts w:asciiTheme="minorHAnsi" w:hAnsiTheme="minorHAnsi" w:cstheme="minorHAnsi"/>
          <w:noProof/>
        </w:rPr>
        <w:t>egistrů</w:t>
      </w:r>
      <w:r w:rsidRPr="00C24606">
        <w:rPr>
          <w:rFonts w:asciiTheme="minorHAnsi" w:hAnsiTheme="minorHAnsi" w:cstheme="minorHAnsi"/>
          <w:noProof/>
        </w:rPr>
        <w:t>, integrované datové rozhraní resortu, elektronizac</w:t>
      </w:r>
      <w:r w:rsidR="008D5508">
        <w:rPr>
          <w:rFonts w:asciiTheme="minorHAnsi" w:hAnsiTheme="minorHAnsi" w:cstheme="minorHAnsi"/>
          <w:noProof/>
        </w:rPr>
        <w:t>e</w:t>
      </w:r>
      <w:r w:rsidR="00301C08">
        <w:rPr>
          <w:rFonts w:asciiTheme="minorHAnsi" w:hAnsiTheme="minorHAnsi" w:cstheme="minorHAnsi"/>
          <w:noProof/>
        </w:rPr>
        <w:t xml:space="preserve"> </w:t>
      </w:r>
      <w:r w:rsidRPr="00C24606">
        <w:rPr>
          <w:rFonts w:asciiTheme="minorHAnsi" w:hAnsiTheme="minorHAnsi" w:cstheme="minorHAnsi"/>
          <w:noProof/>
        </w:rPr>
        <w:t>zdravotnické dokumentace; rozvíjení služeb elektronického zdravotnictví související s ePreskripcí, eNeschopenkou, souhrnem  o pacientovi včetně podpory přeshraniční péče, telemedicínská řešení a mHealth)</w:t>
      </w:r>
      <w:r w:rsidR="003E0EE3">
        <w:rPr>
          <w:rFonts w:asciiTheme="minorHAnsi" w:hAnsiTheme="minorHAnsi" w:cstheme="minorHAnsi"/>
          <w:noProof/>
        </w:rPr>
        <w:t>.</w:t>
      </w:r>
    </w:p>
    <w:p w:rsidR="00263E55" w:rsidRPr="00C24606" w:rsidP="00C709C0" w14:paraId="7BFE0B1C" w14:textId="63776C80">
      <w:pPr>
        <w:pStyle w:val="NormalWeb"/>
        <w:numPr>
          <w:ilvl w:val="0"/>
          <w:numId w:val="33"/>
        </w:numPr>
        <w:jc w:val="both"/>
        <w:rPr>
          <w:rFonts w:asciiTheme="minorHAnsi" w:hAnsiTheme="minorHAnsi" w:cstheme="minorHAnsi"/>
          <w:noProof/>
          <w:lang w:eastAsia="en-US"/>
        </w:rPr>
      </w:pPr>
      <w:r w:rsidRPr="00C24606">
        <w:rPr>
          <w:rFonts w:asciiTheme="minorHAnsi" w:hAnsiTheme="minorHAnsi" w:cstheme="minorHAnsi"/>
          <w:noProof/>
          <w:lang w:eastAsia="en-US"/>
        </w:rPr>
        <w:t>Podpora řešení přístupu pacientů k vlastním zdravotním údajům a jejich správě</w:t>
      </w:r>
      <w:r w:rsidR="003E0EE3">
        <w:rPr>
          <w:rFonts w:asciiTheme="minorHAnsi" w:hAnsiTheme="minorHAnsi" w:cstheme="minorHAnsi"/>
          <w:noProof/>
          <w:lang w:eastAsia="en-US"/>
        </w:rPr>
        <w:t>.</w:t>
      </w:r>
    </w:p>
    <w:p w:rsidR="00263E55" w:rsidRPr="00C24606" w:rsidP="00C709C0" w14:paraId="5BFD290E" w14:textId="778A4409">
      <w:pPr>
        <w:pStyle w:val="NormalWeb"/>
        <w:numPr>
          <w:ilvl w:val="0"/>
          <w:numId w:val="33"/>
        </w:numPr>
        <w:jc w:val="both"/>
        <w:rPr>
          <w:rFonts w:asciiTheme="minorHAnsi" w:eastAsiaTheme="minorEastAsia" w:hAnsiTheme="minorHAnsi" w:cstheme="minorHAnsi"/>
          <w:bCs/>
          <w:color w:val="212121"/>
          <w:lang w:eastAsia="en-US"/>
        </w:rPr>
      </w:pPr>
      <w:r w:rsidRPr="00C24606">
        <w:rPr>
          <w:rFonts w:asciiTheme="minorHAnsi" w:eastAsiaTheme="minorEastAsia" w:hAnsiTheme="minorHAnsi" w:cstheme="minorHAnsi"/>
          <w:bCs/>
          <w:color w:val="212121"/>
          <w:lang w:eastAsia="en-US"/>
        </w:rPr>
        <w:t>Podpora rozvoje infrastruktury a pro sdílení zdravotnické dokumentace, zaručenou a bezpečnou komunikaci a výměnu informací ve zdravotnictví</w:t>
      </w:r>
      <w:r w:rsidR="003E0EE3">
        <w:rPr>
          <w:rFonts w:asciiTheme="minorHAnsi" w:eastAsiaTheme="minorEastAsia" w:hAnsiTheme="minorHAnsi" w:cstheme="minorHAnsi"/>
          <w:bCs/>
          <w:color w:val="212121"/>
          <w:lang w:eastAsia="en-US"/>
        </w:rPr>
        <w:t>.</w:t>
      </w:r>
      <w:r w:rsidRPr="00C24606">
        <w:rPr>
          <w:rFonts w:asciiTheme="minorHAnsi" w:eastAsiaTheme="minorEastAsia" w:hAnsiTheme="minorHAnsi" w:cstheme="minorHAnsi"/>
          <w:bCs/>
          <w:color w:val="212121"/>
          <w:lang w:eastAsia="en-US"/>
        </w:rPr>
        <w:t xml:space="preserve"> </w:t>
      </w:r>
    </w:p>
    <w:p w:rsidR="00263E55" w:rsidRPr="008D5508" w:rsidP="00C709C0" w14:paraId="1A1CEFE8" w14:textId="7C9C8FBB">
      <w:pPr>
        <w:pStyle w:val="ListParagraph"/>
        <w:numPr>
          <w:ilvl w:val="0"/>
          <w:numId w:val="33"/>
        </w:numPr>
        <w:jc w:val="both"/>
        <w:rPr>
          <w:rFonts w:asciiTheme="minorHAnsi" w:hAnsiTheme="minorHAnsi" w:cstheme="minorHAnsi"/>
          <w:bCs/>
          <w:color w:val="212121"/>
        </w:rPr>
      </w:pPr>
      <w:r w:rsidRPr="008D5508">
        <w:rPr>
          <w:rFonts w:asciiTheme="minorHAnsi" w:hAnsiTheme="minorHAnsi" w:cstheme="minorHAnsi"/>
          <w:bCs/>
          <w:color w:val="212121"/>
        </w:rPr>
        <w:t xml:space="preserve">Podpora rozvoje systému poskytování služeb </w:t>
      </w:r>
      <w:r w:rsidR="00C81DE1">
        <w:rPr>
          <w:rFonts w:asciiTheme="minorHAnsi" w:hAnsiTheme="minorHAnsi" w:cstheme="minorHAnsi"/>
          <w:bCs/>
          <w:color w:val="212121"/>
        </w:rPr>
        <w:t>referenčních údajů</w:t>
      </w:r>
      <w:r w:rsidRPr="008D5508" w:rsidR="008D5508">
        <w:rPr>
          <w:rFonts w:asciiTheme="minorHAnsi" w:hAnsiTheme="minorHAnsi" w:cstheme="minorHAnsi"/>
          <w:bCs/>
          <w:color w:val="212121"/>
        </w:rPr>
        <w:t xml:space="preserve"> a zajištění </w:t>
      </w:r>
      <w:r w:rsidRPr="008D5508" w:rsidR="008D5508">
        <w:rPr>
          <w:rFonts w:asciiTheme="minorHAnsi" w:eastAsiaTheme="minorEastAsia" w:hAnsiTheme="minorHAnsi" w:cstheme="minorHAnsi"/>
          <w:bCs/>
          <w:color w:val="212121"/>
          <w:lang w:eastAsia="en-US"/>
        </w:rPr>
        <w:t>jednotného přístupu ke službám elektronického zdravotnictví a vybudování Integrovaného datového rozhraní resortu zdravotnictví jako infrastruktury zajišťující bezpečné sdílení d</w:t>
      </w:r>
      <w:r w:rsidRPr="004712FE" w:rsidR="008D5508">
        <w:rPr>
          <w:rFonts w:asciiTheme="minorHAnsi" w:eastAsiaTheme="minorEastAsia" w:hAnsiTheme="minorHAnsi" w:cstheme="minorHAnsi"/>
          <w:bCs/>
          <w:color w:val="212121"/>
          <w:lang w:eastAsia="en-US"/>
        </w:rPr>
        <w:t xml:space="preserve">at a zdravotnické dokumentace a vedení autorizované komunikace mezi subjekty zapojenými do elektronického zdravotnictví. </w:t>
      </w:r>
    </w:p>
    <w:p w:rsidR="00263E55" w:rsidRPr="00C24606" w:rsidP="00C709C0" w14:paraId="632C4762" w14:textId="0E610FCC">
      <w:pPr>
        <w:pStyle w:val="Default"/>
        <w:numPr>
          <w:ilvl w:val="0"/>
          <w:numId w:val="33"/>
        </w:numPr>
        <w:jc w:val="both"/>
        <w:rPr>
          <w:rFonts w:asciiTheme="minorHAnsi" w:eastAsiaTheme="minorHAnsi" w:hAnsiTheme="minorHAnsi" w:cstheme="minorHAnsi"/>
          <w:noProof/>
          <w:color w:val="auto"/>
        </w:rPr>
      </w:pPr>
      <w:r w:rsidRPr="00C24606">
        <w:rPr>
          <w:rFonts w:asciiTheme="minorHAnsi" w:eastAsiaTheme="minorHAnsi" w:hAnsiTheme="minorHAnsi" w:cstheme="minorHAnsi"/>
          <w:noProof/>
          <w:color w:val="auto"/>
        </w:rPr>
        <w:t>Podpora a výzkum využití nových digitálních technologií v oblasti zdravotnictví</w:t>
      </w:r>
      <w:r w:rsidR="003E0EE3">
        <w:rPr>
          <w:rFonts w:asciiTheme="minorHAnsi" w:eastAsiaTheme="minorHAnsi" w:hAnsiTheme="minorHAnsi" w:cstheme="minorHAnsi"/>
          <w:noProof/>
          <w:color w:val="auto"/>
        </w:rPr>
        <w:t>.</w:t>
      </w:r>
    </w:p>
    <w:p w:rsidR="00263E55" w:rsidRPr="00C24606" w:rsidP="00C709C0" w14:paraId="34BB6BF8" w14:textId="384BA09F">
      <w:pPr>
        <w:pStyle w:val="ListParagraph"/>
        <w:numPr>
          <w:ilvl w:val="0"/>
          <w:numId w:val="33"/>
        </w:numPr>
        <w:autoSpaceDE w:val="0"/>
        <w:autoSpaceDN w:val="0"/>
        <w:adjustRightInd w:val="0"/>
        <w:spacing w:before="120" w:after="120"/>
        <w:contextualSpacing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Podpora a výzkum technologií mobilního zdravotnictví (mHealth) a telemedicíny na všech úrovních poskytování zdravotní péče, zejména u koncových uživatelů (nemocnice, ambulance, pacienti)</w:t>
      </w:r>
      <w:r w:rsidR="003E0EE3">
        <w:rPr>
          <w:rFonts w:asciiTheme="minorHAnsi" w:eastAsiaTheme="minorHAnsi" w:hAnsiTheme="minorHAnsi" w:cstheme="minorHAnsi"/>
          <w:noProof/>
          <w:lang w:eastAsia="en-US"/>
        </w:rPr>
        <w:t>.</w:t>
      </w:r>
    </w:p>
    <w:p w:rsidR="00263E55" w:rsidRPr="00C24606" w:rsidP="00C709C0" w14:paraId="1529DC1E" w14:textId="0BCE083C">
      <w:pPr>
        <w:pStyle w:val="Default"/>
        <w:numPr>
          <w:ilvl w:val="0"/>
          <w:numId w:val="33"/>
        </w:numPr>
        <w:jc w:val="both"/>
        <w:rPr>
          <w:rFonts w:asciiTheme="minorHAnsi" w:eastAsiaTheme="minorHAnsi" w:hAnsiTheme="minorHAnsi" w:cstheme="minorHAnsi"/>
          <w:noProof/>
          <w:color w:val="auto"/>
        </w:rPr>
      </w:pPr>
      <w:r w:rsidRPr="00C24606">
        <w:rPr>
          <w:rFonts w:asciiTheme="minorHAnsi" w:eastAsiaTheme="minorHAnsi" w:hAnsiTheme="minorHAnsi" w:cstheme="minorHAnsi"/>
          <w:noProof/>
          <w:color w:val="auto"/>
        </w:rPr>
        <w:t>Podpora a výzkum využití umělé inteligence ve zdravotnictví a implementace na ní založených služeb s ohledem na etické, lidskoprávní a legislativní rozměry, včetně zohlednění zahraniční praxe</w:t>
      </w:r>
      <w:r w:rsidR="003E0EE3">
        <w:rPr>
          <w:rFonts w:asciiTheme="minorHAnsi" w:eastAsiaTheme="minorHAnsi" w:hAnsiTheme="minorHAnsi" w:cstheme="minorHAnsi"/>
          <w:noProof/>
          <w:color w:val="auto"/>
        </w:rPr>
        <w:t>.</w:t>
      </w:r>
    </w:p>
    <w:p w:rsidR="00263E55" w:rsidRPr="00C24606" w:rsidP="00C709C0" w14:paraId="01EE2845" w14:textId="7A1E9107">
      <w:pPr>
        <w:pStyle w:val="Default"/>
        <w:numPr>
          <w:ilvl w:val="0"/>
          <w:numId w:val="33"/>
        </w:numPr>
        <w:jc w:val="both"/>
        <w:rPr>
          <w:rFonts w:asciiTheme="minorHAnsi" w:eastAsiaTheme="minorHAnsi" w:hAnsiTheme="minorHAnsi" w:cstheme="minorHAnsi"/>
          <w:noProof/>
          <w:color w:val="auto"/>
        </w:rPr>
      </w:pPr>
      <w:r w:rsidRPr="00C24606">
        <w:rPr>
          <w:rFonts w:asciiTheme="minorHAnsi" w:eastAsiaTheme="minorHAnsi" w:hAnsiTheme="minorHAnsi" w:cstheme="minorHAnsi"/>
          <w:noProof/>
          <w:color w:val="auto"/>
        </w:rPr>
        <w:t>Změna legislativy, l</w:t>
      </w:r>
      <w:r w:rsidRPr="00C24606">
        <w:rPr>
          <w:rFonts w:asciiTheme="minorHAnsi" w:eastAsiaTheme="minorHAnsi" w:hAnsiTheme="minorHAnsi" w:cstheme="minorHAnsi"/>
          <w:noProof/>
          <w:color w:val="auto"/>
        </w:rPr>
        <w:t>egislativní podpora standardizace v  oblasti vedení a sdílení zdravotních záznamů</w:t>
      </w:r>
      <w:r w:rsidR="003E0EE3">
        <w:rPr>
          <w:rFonts w:asciiTheme="minorHAnsi" w:eastAsiaTheme="minorHAnsi" w:hAnsiTheme="minorHAnsi" w:cstheme="minorHAnsi"/>
          <w:noProof/>
          <w:color w:val="auto"/>
        </w:rPr>
        <w:t>.</w:t>
      </w:r>
    </w:p>
    <w:p w:rsidR="00263E55" w:rsidRPr="00C24606" w:rsidP="00C709C0" w14:paraId="0C25DFD2" w14:textId="22F75EB7">
      <w:pPr>
        <w:pStyle w:val="Default"/>
        <w:numPr>
          <w:ilvl w:val="0"/>
          <w:numId w:val="33"/>
        </w:numPr>
        <w:jc w:val="both"/>
        <w:rPr>
          <w:rFonts w:asciiTheme="minorHAnsi" w:eastAsiaTheme="minorHAnsi" w:hAnsiTheme="minorHAnsi" w:cstheme="minorHAnsi"/>
          <w:noProof/>
          <w:color w:val="auto"/>
        </w:rPr>
      </w:pPr>
      <w:r w:rsidRPr="00C24606">
        <w:rPr>
          <w:rFonts w:asciiTheme="minorHAnsi" w:eastAsiaTheme="minorHAnsi" w:hAnsiTheme="minorHAnsi" w:cstheme="minorHAnsi"/>
          <w:noProof/>
          <w:color w:val="auto"/>
        </w:rPr>
        <w:t>Podpora a zvyšování digitální zdravotní gramotnosti a  využívání moderních technologií ve zdravotnitví</w:t>
      </w:r>
      <w:r w:rsidR="00840771">
        <w:rPr>
          <w:rFonts w:asciiTheme="minorHAnsi" w:eastAsiaTheme="minorHAnsi" w:hAnsiTheme="minorHAnsi" w:cstheme="minorHAnsi"/>
          <w:noProof/>
          <w:color w:val="auto"/>
        </w:rPr>
        <w:t>.</w:t>
      </w:r>
      <w:r w:rsidRPr="00C24606">
        <w:rPr>
          <w:rFonts w:asciiTheme="minorHAnsi" w:eastAsiaTheme="minorHAnsi" w:hAnsiTheme="minorHAnsi" w:cstheme="minorHAnsi"/>
          <w:noProof/>
          <w:color w:val="auto"/>
        </w:rPr>
        <w:t xml:space="preserve"> </w:t>
      </w:r>
    </w:p>
    <w:p w:rsidR="003E0EE3" w:rsidP="00C709C0" w14:paraId="4C0FCB4A" w14:textId="14F6BAF7">
      <w:pPr>
        <w:jc w:val="both"/>
        <w:rPr>
          <w:rFonts w:asciiTheme="minorHAnsi" w:hAnsiTheme="minorHAnsi" w:cstheme="minorHAnsi"/>
        </w:rPr>
      </w:pPr>
      <w:r>
        <w:rPr>
          <w:rFonts w:asciiTheme="minorHAnsi" w:hAnsiTheme="minorHAnsi" w:cstheme="minorHAnsi"/>
        </w:rPr>
        <w:br w:type="page"/>
      </w:r>
    </w:p>
    <w:p w:rsidR="00F32EF8" w:rsidRPr="00C24606" w:rsidP="00C709C0" w14:paraId="6C554013" w14:textId="19455A2C">
      <w:pPr>
        <w:jc w:val="both"/>
        <w:rPr>
          <w:rFonts w:asciiTheme="minorHAnsi" w:hAnsiTheme="minorHAnsi" w:cstheme="minorHAnsi"/>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1984"/>
        <w:gridCol w:w="2268"/>
        <w:gridCol w:w="1134"/>
        <w:gridCol w:w="851"/>
        <w:gridCol w:w="1417"/>
        <w:gridCol w:w="2977"/>
        <w:gridCol w:w="3260"/>
      </w:tblGrid>
      <w:tr w14:paraId="2F94EFD5" w14:textId="7C0936F5" w:rsidTr="00F53A99">
        <w:tblPrEx>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644"/>
        </w:trPr>
        <w:tc>
          <w:tcPr>
            <w:tcW w:w="1560" w:type="dxa"/>
          </w:tcPr>
          <w:p w:rsidR="00514ECA" w:rsidRPr="00B677A8" w:rsidP="00C709C0" w14:paraId="1D880FF7" w14:textId="77777777">
            <w:pPr>
              <w:ind w:left="-38"/>
              <w:jc w:val="both"/>
              <w:rPr>
                <w:rFonts w:asciiTheme="minorHAnsi" w:hAnsiTheme="minorHAnsi" w:cstheme="minorHAnsi"/>
                <w:b/>
                <w:sz w:val="22"/>
                <w:szCs w:val="22"/>
              </w:rPr>
            </w:pPr>
            <w:r w:rsidRPr="00B677A8">
              <w:rPr>
                <w:rFonts w:asciiTheme="minorHAnsi" w:hAnsiTheme="minorHAnsi" w:cstheme="minorHAnsi"/>
                <w:b/>
                <w:sz w:val="22"/>
                <w:szCs w:val="22"/>
              </w:rPr>
              <w:t xml:space="preserve">Dílčí cíl </w:t>
            </w:r>
          </w:p>
          <w:p w:rsidR="00514ECA" w:rsidRPr="00B677A8" w:rsidP="00C709C0" w14:paraId="07D94256" w14:textId="77777777">
            <w:pPr>
              <w:ind w:left="-38"/>
              <w:jc w:val="both"/>
              <w:rPr>
                <w:rFonts w:asciiTheme="minorHAnsi" w:hAnsiTheme="minorHAnsi" w:cstheme="minorHAnsi"/>
                <w:b/>
                <w:sz w:val="22"/>
                <w:szCs w:val="22"/>
              </w:rPr>
            </w:pPr>
          </w:p>
        </w:tc>
        <w:tc>
          <w:tcPr>
            <w:tcW w:w="1984" w:type="dxa"/>
          </w:tcPr>
          <w:p w:rsidR="00514ECA" w:rsidRPr="00B677A8" w:rsidP="00C709C0" w14:paraId="237ACE64" w14:textId="136606C5">
            <w:pPr>
              <w:jc w:val="both"/>
              <w:rPr>
                <w:rFonts w:asciiTheme="minorHAnsi" w:hAnsiTheme="minorHAnsi" w:cstheme="minorHAnsi"/>
                <w:b/>
                <w:sz w:val="22"/>
                <w:szCs w:val="22"/>
              </w:rPr>
            </w:pPr>
            <w:r w:rsidRPr="00B677A8">
              <w:rPr>
                <w:rFonts w:asciiTheme="minorHAnsi" w:hAnsiTheme="minorHAnsi" w:cstheme="minorHAnsi"/>
                <w:b/>
                <w:sz w:val="22"/>
                <w:szCs w:val="22"/>
              </w:rPr>
              <w:t>Popis DC- z jakého důvodu byl vybrán, jaký bude jeho dopad/efekt/význam</w:t>
            </w:r>
          </w:p>
        </w:tc>
        <w:tc>
          <w:tcPr>
            <w:tcW w:w="2268" w:type="dxa"/>
          </w:tcPr>
          <w:p w:rsidR="00514ECA" w:rsidRPr="00B677A8" w:rsidP="00C709C0" w14:paraId="34D29B49" w14:textId="21610EA0">
            <w:pPr>
              <w:jc w:val="both"/>
              <w:rPr>
                <w:rFonts w:asciiTheme="minorHAnsi" w:hAnsiTheme="minorHAnsi" w:cstheme="minorHAnsi"/>
                <w:b/>
                <w:sz w:val="22"/>
                <w:szCs w:val="22"/>
              </w:rPr>
            </w:pPr>
            <w:r w:rsidRPr="00B677A8">
              <w:rPr>
                <w:rFonts w:asciiTheme="minorHAnsi" w:hAnsiTheme="minorHAnsi" w:cstheme="minorHAnsi"/>
                <w:b/>
                <w:sz w:val="22"/>
                <w:szCs w:val="22"/>
              </w:rPr>
              <w:t xml:space="preserve">Opatření </w:t>
            </w:r>
          </w:p>
          <w:p w:rsidR="00514ECA" w:rsidRPr="00B677A8" w:rsidP="00C709C0" w14:paraId="0E9C0249" w14:textId="77777777">
            <w:pPr>
              <w:jc w:val="both"/>
              <w:rPr>
                <w:rFonts w:asciiTheme="minorHAnsi" w:hAnsiTheme="minorHAnsi" w:cstheme="minorHAnsi"/>
                <w:b/>
                <w:sz w:val="22"/>
                <w:szCs w:val="22"/>
              </w:rPr>
            </w:pPr>
          </w:p>
        </w:tc>
        <w:tc>
          <w:tcPr>
            <w:tcW w:w="1134" w:type="dxa"/>
          </w:tcPr>
          <w:p w:rsidR="00514ECA" w:rsidRPr="00B677A8" w:rsidP="00C709C0" w14:paraId="558112A8"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Doba realizace / od–do</w:t>
            </w:r>
          </w:p>
        </w:tc>
        <w:tc>
          <w:tcPr>
            <w:tcW w:w="851" w:type="dxa"/>
          </w:tcPr>
          <w:p w:rsidR="00514ECA" w:rsidRPr="00B677A8" w:rsidP="00C709C0" w14:paraId="53B599A3"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Gestor</w:t>
            </w:r>
          </w:p>
        </w:tc>
        <w:tc>
          <w:tcPr>
            <w:tcW w:w="1417" w:type="dxa"/>
          </w:tcPr>
          <w:p w:rsidR="00514ECA" w:rsidRPr="00B677A8" w:rsidP="00C709C0" w14:paraId="78D3DD8D"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Spolupracující subjekty</w:t>
            </w:r>
          </w:p>
        </w:tc>
        <w:tc>
          <w:tcPr>
            <w:tcW w:w="2977" w:type="dxa"/>
          </w:tcPr>
          <w:p w:rsidR="00514ECA" w:rsidRPr="00B677A8" w:rsidP="00C709C0" w14:paraId="72E7542B" w14:textId="31EF240E">
            <w:pPr>
              <w:jc w:val="both"/>
              <w:rPr>
                <w:rFonts w:asciiTheme="minorHAnsi" w:hAnsiTheme="minorHAnsi" w:cstheme="minorHAnsi"/>
                <w:b/>
                <w:sz w:val="22"/>
                <w:szCs w:val="22"/>
              </w:rPr>
            </w:pPr>
            <w:r w:rsidRPr="00B677A8">
              <w:rPr>
                <w:rFonts w:asciiTheme="minorHAnsi" w:hAnsiTheme="minorHAnsi" w:cstheme="minorHAnsi"/>
                <w:b/>
                <w:sz w:val="22"/>
                <w:szCs w:val="22"/>
              </w:rPr>
              <w:t>Stav plnění k 1.2024</w:t>
            </w:r>
          </w:p>
        </w:tc>
        <w:tc>
          <w:tcPr>
            <w:tcW w:w="3260" w:type="dxa"/>
          </w:tcPr>
          <w:p w:rsidR="00514ECA" w:rsidRPr="00B677A8" w:rsidP="00C709C0" w14:paraId="088E5F07" w14:textId="275B9BAC">
            <w:pPr>
              <w:jc w:val="both"/>
              <w:rPr>
                <w:rFonts w:asciiTheme="minorHAnsi" w:hAnsiTheme="minorHAnsi" w:cstheme="minorHAnsi"/>
                <w:b/>
                <w:sz w:val="22"/>
                <w:szCs w:val="22"/>
              </w:rPr>
            </w:pPr>
            <w:r w:rsidRPr="00B677A8">
              <w:rPr>
                <w:rFonts w:asciiTheme="minorHAnsi" w:hAnsiTheme="minorHAnsi" w:cstheme="minorHAnsi"/>
                <w:b/>
                <w:sz w:val="22"/>
                <w:szCs w:val="22"/>
              </w:rPr>
              <w:t>Další postup</w:t>
            </w:r>
          </w:p>
        </w:tc>
      </w:tr>
      <w:tr w14:paraId="0A4AC8AD" w14:textId="58E03322" w:rsidTr="00F53A99">
        <w:tblPrEx>
          <w:tblW w:w="15451" w:type="dxa"/>
          <w:tblInd w:w="-147" w:type="dxa"/>
          <w:tblLayout w:type="fixed"/>
          <w:tblCellMar>
            <w:left w:w="70" w:type="dxa"/>
            <w:right w:w="70" w:type="dxa"/>
          </w:tblCellMar>
          <w:tblLook w:val="0000"/>
        </w:tblPrEx>
        <w:trPr>
          <w:trHeight w:val="909"/>
        </w:trPr>
        <w:tc>
          <w:tcPr>
            <w:tcW w:w="1560" w:type="dxa"/>
            <w:vMerge w:val="restart"/>
          </w:tcPr>
          <w:p w:rsidR="00514ECA" w:rsidRPr="00B677A8" w:rsidP="001D72A0" w14:paraId="7FC17BBE" w14:textId="7159B55F">
            <w:pPr>
              <w:ind w:left="-38"/>
              <w:jc w:val="both"/>
              <w:rPr>
                <w:rFonts w:asciiTheme="minorHAnsi" w:hAnsiTheme="minorHAnsi" w:cstheme="minorHAnsi"/>
                <w:bCs/>
                <w:i/>
                <w:sz w:val="22"/>
                <w:szCs w:val="22"/>
              </w:rPr>
            </w:pPr>
            <w:r w:rsidRPr="00B677A8">
              <w:rPr>
                <w:rFonts w:asciiTheme="minorHAnsi" w:hAnsiTheme="minorHAnsi" w:cstheme="minorHAnsi"/>
                <w:bCs/>
                <w:sz w:val="22"/>
                <w:szCs w:val="22"/>
              </w:rPr>
              <w:t>Dílčí cíl č. 2.3.1 Rozvoj a implementace koncepce digitalizace zdravotnictví, institucionalizace elektronického zdravotnictví</w:t>
            </w:r>
          </w:p>
        </w:tc>
        <w:tc>
          <w:tcPr>
            <w:tcW w:w="1984" w:type="dxa"/>
          </w:tcPr>
          <w:p w:rsidR="00514ECA" w:rsidRPr="00B677A8" w:rsidP="001D72A0" w14:paraId="4D22630B" w14:textId="77777777">
            <w:pPr>
              <w:jc w:val="both"/>
              <w:rPr>
                <w:rFonts w:asciiTheme="minorHAnsi" w:hAnsiTheme="minorHAnsi" w:cstheme="minorHAnsi"/>
                <w:bCs/>
                <w:sz w:val="22"/>
                <w:szCs w:val="22"/>
              </w:rPr>
            </w:pPr>
          </w:p>
        </w:tc>
        <w:tc>
          <w:tcPr>
            <w:tcW w:w="2268" w:type="dxa"/>
          </w:tcPr>
          <w:p w:rsidR="00514ECA" w:rsidRPr="00B677A8" w:rsidP="001D72A0" w14:paraId="3CB51F29" w14:textId="394CA9FF">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Potřeba vytvoření právní opory v plánovaných a realizovaných opatřeních podle Národní strategie elektronického zdravotnictví a jejího Akčního plánu a také řešení závažných dosud neřešených problémů ve zdravotnictví vedoucích ke snížení dostupnosti a kvality zdravotních služeb a zvyšujícímu se riziku neudržitelnosti financování zdravotních služeb v požadované kvalitě (Zákon o </w:t>
            </w:r>
            <w:r w:rsidRPr="00B677A8">
              <w:rPr>
                <w:rFonts w:asciiTheme="minorHAnsi" w:hAnsiTheme="minorHAnsi" w:cstheme="minorHAnsi"/>
                <w:bCs/>
                <w:sz w:val="22"/>
                <w:szCs w:val="22"/>
              </w:rPr>
              <w:t>elektronizaci zdravotnictví)</w:t>
            </w:r>
          </w:p>
        </w:tc>
        <w:tc>
          <w:tcPr>
            <w:tcW w:w="1134" w:type="dxa"/>
          </w:tcPr>
          <w:p w:rsidR="00514ECA" w:rsidRPr="00B677A8" w:rsidP="001D72A0" w14:paraId="0C3C50CF" w14:textId="21F9480F">
            <w:pPr>
              <w:jc w:val="both"/>
              <w:rPr>
                <w:rFonts w:asciiTheme="minorHAnsi" w:hAnsiTheme="minorHAnsi" w:cstheme="minorHAnsi"/>
                <w:bCs/>
                <w:sz w:val="22"/>
                <w:szCs w:val="22"/>
              </w:rPr>
            </w:pPr>
            <w:r w:rsidRPr="00B677A8">
              <w:rPr>
                <w:rFonts w:asciiTheme="minorHAnsi" w:hAnsiTheme="minorHAnsi" w:cstheme="minorHAnsi"/>
                <w:bCs/>
                <w:sz w:val="22"/>
                <w:szCs w:val="22"/>
              </w:rPr>
              <w:t>2019-20</w:t>
            </w:r>
            <w:r w:rsidRPr="00B677A8" w:rsidR="00FE7EA6">
              <w:rPr>
                <w:rFonts w:asciiTheme="minorHAnsi" w:hAnsiTheme="minorHAnsi" w:cstheme="minorHAnsi"/>
                <w:bCs/>
                <w:sz w:val="22"/>
                <w:szCs w:val="22"/>
              </w:rPr>
              <w:t>35</w:t>
            </w:r>
          </w:p>
        </w:tc>
        <w:tc>
          <w:tcPr>
            <w:tcW w:w="851" w:type="dxa"/>
          </w:tcPr>
          <w:p w:rsidR="00514ECA" w:rsidRPr="00B677A8" w:rsidP="001D72A0" w14:paraId="00F4D9C3" w14:textId="44368F2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sidR="00FE7EA6">
              <w:rPr>
                <w:rFonts w:asciiTheme="minorHAnsi" w:hAnsiTheme="minorHAnsi" w:cstheme="minorHAnsi"/>
                <w:bCs/>
                <w:sz w:val="22"/>
                <w:szCs w:val="22"/>
              </w:rPr>
              <w:t xml:space="preserve"> (SIT</w:t>
            </w:r>
            <w:r w:rsidRPr="00B677A8" w:rsidR="007E687D">
              <w:rPr>
                <w:rFonts w:asciiTheme="minorHAnsi" w:hAnsiTheme="minorHAnsi" w:cstheme="minorHAnsi"/>
                <w:bCs/>
                <w:sz w:val="22"/>
                <w:szCs w:val="22"/>
              </w:rPr>
              <w:t>/NCEZ</w:t>
            </w:r>
            <w:r w:rsidRPr="00B677A8" w:rsidR="00FE7EA6">
              <w:rPr>
                <w:rFonts w:asciiTheme="minorHAnsi" w:hAnsiTheme="minorHAnsi" w:cstheme="minorHAnsi"/>
                <w:bCs/>
                <w:sz w:val="22"/>
                <w:szCs w:val="22"/>
              </w:rPr>
              <w:t>)</w:t>
            </w:r>
          </w:p>
        </w:tc>
        <w:tc>
          <w:tcPr>
            <w:tcW w:w="1417" w:type="dxa"/>
          </w:tcPr>
          <w:p w:rsidR="00514ECA" w:rsidRPr="00B677A8" w:rsidP="001D72A0" w14:paraId="2E640632" w14:textId="2BC75436">
            <w:pPr>
              <w:jc w:val="both"/>
              <w:rPr>
                <w:rFonts w:asciiTheme="minorHAnsi" w:hAnsiTheme="minorHAnsi" w:cstheme="minorHAnsi"/>
                <w:bCs/>
                <w:color w:val="000000" w:themeColor="text1"/>
                <w:sz w:val="22"/>
                <w:szCs w:val="22"/>
              </w:rPr>
            </w:pPr>
            <w:r w:rsidRPr="00B677A8">
              <w:rPr>
                <w:rFonts w:asciiTheme="minorHAnsi" w:hAnsiTheme="minorHAnsi" w:cstheme="minorHAnsi"/>
                <w:bCs/>
                <w:color w:val="000000" w:themeColor="text1"/>
                <w:sz w:val="22"/>
                <w:szCs w:val="22"/>
              </w:rPr>
              <w:t>MZD</w:t>
            </w:r>
            <w:r w:rsidRPr="00B677A8">
              <w:rPr>
                <w:rFonts w:asciiTheme="minorHAnsi" w:hAnsiTheme="minorHAnsi" w:cstheme="minorHAnsi"/>
                <w:bCs/>
                <w:color w:val="000000" w:themeColor="text1"/>
                <w:sz w:val="22"/>
                <w:szCs w:val="22"/>
              </w:rPr>
              <w:t xml:space="preserve"> (SL)</w:t>
            </w:r>
          </w:p>
          <w:p w:rsidR="004665BD" w:rsidRPr="00B677A8" w:rsidP="001D72A0" w14:paraId="4C52C908" w14:textId="620A4D18">
            <w:pPr>
              <w:jc w:val="both"/>
              <w:rPr>
                <w:rFonts w:asciiTheme="minorHAnsi" w:hAnsiTheme="minorHAnsi" w:cstheme="minorHAnsi"/>
                <w:bCs/>
                <w:sz w:val="22"/>
                <w:szCs w:val="22"/>
              </w:rPr>
            </w:pPr>
            <w:r w:rsidRPr="00B677A8">
              <w:rPr>
                <w:rFonts w:asciiTheme="minorHAnsi" w:hAnsiTheme="minorHAnsi" w:cstheme="minorHAnsi"/>
                <w:bCs/>
                <w:color w:val="000000" w:themeColor="text1"/>
                <w:sz w:val="22"/>
                <w:szCs w:val="22"/>
              </w:rPr>
              <w:t>ÚZIS ČR</w:t>
            </w:r>
          </w:p>
        </w:tc>
        <w:tc>
          <w:tcPr>
            <w:tcW w:w="2977" w:type="dxa"/>
          </w:tcPr>
          <w:p w:rsidR="00514ECA" w:rsidRPr="00B677A8" w:rsidP="001D72A0" w14:paraId="03C3C97A"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Splněno</w:t>
            </w:r>
          </w:p>
          <w:p w:rsidR="00514ECA" w:rsidRPr="00B677A8" w:rsidP="001D72A0" w14:paraId="09150BE4"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Zákon č. 325/2021 Sb., o elektronizaci zdravotnictví nabyl účinnosti dnem 1. ledna 2022, s výjimkou</w:t>
            </w:r>
          </w:p>
          <w:p w:rsidR="00514ECA" w:rsidRPr="00B677A8" w:rsidP="001D72A0" w14:paraId="0775D0A5"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a) ustanovení § 6 odst. 2 písm. b) a h), která nabyla účinnosti dnem 1. února 2022,</w:t>
            </w:r>
          </w:p>
          <w:p w:rsidR="00514ECA" w:rsidRPr="00B677A8" w:rsidP="001D72A0" w14:paraId="4DD200DD"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b) ustanovení § 7 odst. 3, § 8, § 10 až 15, § 16</w:t>
            </w:r>
          </w:p>
          <w:p w:rsidR="00514ECA" w:rsidRPr="00B677A8" w:rsidP="001D72A0" w14:paraId="0C77FD99"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odst. 1 až 3, § 18, § 19 odst. 3 a 4, § 20, § 21</w:t>
            </w:r>
          </w:p>
          <w:p w:rsidR="00514ECA" w:rsidRPr="00B677A8" w:rsidP="001D72A0" w14:paraId="72488BDA"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odst. 2 až 4, § 22, § 23 odst. 2, § 24, § 26 až 37</w:t>
            </w:r>
          </w:p>
          <w:p w:rsidR="00514ECA" w:rsidRPr="00B677A8" w:rsidP="001D72A0" w14:paraId="642A3004"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a § 41, která nabyla účinnosti dnem 1. ledna</w:t>
            </w:r>
          </w:p>
          <w:p w:rsidR="00514ECA" w:rsidRPr="00B677A8" w:rsidP="001D72A0" w14:paraId="4180F32D"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2023,</w:t>
            </w:r>
          </w:p>
          <w:p w:rsidR="00514ECA" w:rsidRPr="00B677A8" w:rsidP="001D72A0" w14:paraId="0AFDEA81"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c) ustanovení § 5, § 16 odst. 4 a § 17, která nabývají účinnosti dnem 1. července 2023,</w:t>
            </w:r>
          </w:p>
          <w:p w:rsidR="00514ECA" w:rsidRPr="00B677A8" w:rsidP="001D72A0" w14:paraId="4A1A1295"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d) ustanovení § 4 písm. b) až d), která nabývají</w:t>
            </w:r>
          </w:p>
          <w:p w:rsidR="00514ECA" w:rsidRPr="00B677A8" w:rsidP="001D72A0" w14:paraId="6547AF0D"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účinnosti dnem 1. ledna 2024, a</w:t>
            </w:r>
          </w:p>
          <w:p w:rsidR="00514ECA" w:rsidRPr="00B677A8" w:rsidP="001D72A0" w14:paraId="0A136629"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e) ustanovení § 4 písm. a), které nabývá účinnosti</w:t>
            </w:r>
          </w:p>
          <w:p w:rsidR="00514ECA" w:rsidRPr="00B677A8" w:rsidP="001D72A0" w14:paraId="2542DD9B"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dnem 1. ledna 2026. </w:t>
            </w:r>
          </w:p>
          <w:p w:rsidR="00514ECA" w:rsidRPr="00B677A8" w:rsidP="001D72A0" w14:paraId="1EF724C8" w14:textId="113C4B51">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Opatření navazujících na nařízení o EHDS do r. 2030. </w:t>
            </w:r>
          </w:p>
        </w:tc>
        <w:tc>
          <w:tcPr>
            <w:tcW w:w="3260" w:type="dxa"/>
          </w:tcPr>
          <w:p w:rsidR="00514ECA" w:rsidRPr="00B677A8" w:rsidP="001D72A0" w14:paraId="2C1683E8" w14:textId="4A425B6C">
            <w:pPr>
              <w:jc w:val="both"/>
              <w:rPr>
                <w:rFonts w:asciiTheme="minorHAnsi" w:hAnsiTheme="minorHAnsi" w:cstheme="minorHAnsi"/>
                <w:bCs/>
                <w:sz w:val="22"/>
                <w:szCs w:val="22"/>
              </w:rPr>
            </w:pPr>
            <w:r w:rsidRPr="00B677A8">
              <w:rPr>
                <w:rFonts w:asciiTheme="minorHAnsi" w:hAnsiTheme="minorHAnsi" w:cstheme="minorHAnsi"/>
                <w:bCs/>
                <w:sz w:val="22"/>
                <w:szCs w:val="22"/>
              </w:rPr>
              <w:t>Průběžná novelizace</w:t>
            </w:r>
            <w:r w:rsidRPr="00B677A8" w:rsidR="00AE7866">
              <w:rPr>
                <w:rFonts w:asciiTheme="minorHAnsi" w:hAnsiTheme="minorHAnsi" w:cstheme="minorHAnsi"/>
                <w:bCs/>
                <w:sz w:val="22"/>
                <w:szCs w:val="22"/>
              </w:rPr>
              <w:t xml:space="preserve"> zákona č. 325/2021 Sb. o elektronizaci zdravotnictví</w:t>
            </w:r>
            <w:r w:rsidRPr="00B677A8" w:rsidR="003F0695">
              <w:rPr>
                <w:rFonts w:asciiTheme="minorHAnsi" w:hAnsiTheme="minorHAnsi" w:cstheme="minorHAnsi"/>
                <w:bCs/>
                <w:sz w:val="22"/>
                <w:szCs w:val="22"/>
              </w:rPr>
              <w:t xml:space="preserve"> v reakci na postup digitalizace a evropskou legislativu</w:t>
            </w:r>
            <w:r w:rsidRPr="00B677A8" w:rsidR="001C31A1">
              <w:rPr>
                <w:rFonts w:asciiTheme="minorHAnsi" w:hAnsiTheme="minorHAnsi" w:cstheme="minorHAnsi"/>
                <w:bCs/>
                <w:sz w:val="22"/>
                <w:szCs w:val="22"/>
              </w:rPr>
              <w:t xml:space="preserve"> až do roku 2035</w:t>
            </w:r>
            <w:r w:rsidRPr="00B677A8" w:rsidR="000D4CD8">
              <w:rPr>
                <w:rFonts w:asciiTheme="minorHAnsi" w:hAnsiTheme="minorHAnsi" w:cstheme="minorHAnsi"/>
                <w:bCs/>
                <w:sz w:val="22"/>
                <w:szCs w:val="22"/>
              </w:rPr>
              <w:t>.</w:t>
            </w:r>
          </w:p>
        </w:tc>
      </w:tr>
      <w:tr w14:paraId="174A22C3" w14:textId="76CF2BFA" w:rsidTr="00F53A99">
        <w:tblPrEx>
          <w:tblW w:w="15451" w:type="dxa"/>
          <w:tblInd w:w="-147" w:type="dxa"/>
          <w:tblLayout w:type="fixed"/>
          <w:tblCellMar>
            <w:left w:w="70" w:type="dxa"/>
            <w:right w:w="70" w:type="dxa"/>
          </w:tblCellMar>
          <w:tblLook w:val="0000"/>
        </w:tblPrEx>
        <w:trPr>
          <w:trHeight w:val="909"/>
        </w:trPr>
        <w:tc>
          <w:tcPr>
            <w:tcW w:w="1560" w:type="dxa"/>
            <w:vMerge/>
          </w:tcPr>
          <w:p w:rsidR="00AE7866" w:rsidRPr="00B677A8" w:rsidP="00AE7866" w14:paraId="3EFEB703" w14:textId="77777777">
            <w:pPr>
              <w:ind w:left="-38"/>
              <w:jc w:val="both"/>
              <w:rPr>
                <w:rFonts w:asciiTheme="minorHAnsi" w:hAnsiTheme="minorHAnsi" w:cstheme="minorHAnsi"/>
                <w:bCs/>
                <w:sz w:val="22"/>
                <w:szCs w:val="22"/>
              </w:rPr>
            </w:pPr>
          </w:p>
        </w:tc>
        <w:tc>
          <w:tcPr>
            <w:tcW w:w="1984" w:type="dxa"/>
          </w:tcPr>
          <w:p w:rsidR="00AE7866" w:rsidRPr="00B677A8" w:rsidP="00AE7866" w14:paraId="66FA1A8F" w14:textId="77777777">
            <w:pPr>
              <w:jc w:val="both"/>
              <w:rPr>
                <w:rFonts w:asciiTheme="minorHAnsi" w:hAnsiTheme="minorHAnsi" w:cstheme="minorHAnsi"/>
                <w:bCs/>
                <w:sz w:val="22"/>
                <w:szCs w:val="22"/>
              </w:rPr>
            </w:pPr>
          </w:p>
        </w:tc>
        <w:tc>
          <w:tcPr>
            <w:tcW w:w="2268" w:type="dxa"/>
          </w:tcPr>
          <w:p w:rsidR="00AE7866" w:rsidRPr="00B677A8" w:rsidP="00AE7866" w14:paraId="4CBFB738" w14:textId="3B3E7ACF">
            <w:pPr>
              <w:jc w:val="both"/>
              <w:rPr>
                <w:rFonts w:asciiTheme="minorHAnsi" w:hAnsiTheme="minorHAnsi" w:cstheme="minorHAnsi"/>
                <w:bCs/>
                <w:sz w:val="22"/>
                <w:szCs w:val="22"/>
              </w:rPr>
            </w:pPr>
            <w:r w:rsidRPr="00B677A8">
              <w:rPr>
                <w:rFonts w:asciiTheme="minorHAnsi" w:hAnsiTheme="minorHAnsi" w:cstheme="minorHAnsi"/>
                <w:bCs/>
                <w:sz w:val="22"/>
                <w:szCs w:val="22"/>
              </w:rPr>
              <w:t>Legislativní úpravy v návaznosti na nařízení o EHDS</w:t>
            </w:r>
          </w:p>
        </w:tc>
        <w:tc>
          <w:tcPr>
            <w:tcW w:w="1134" w:type="dxa"/>
          </w:tcPr>
          <w:p w:rsidR="00AE7866" w:rsidRPr="00B677A8" w:rsidP="00AE7866" w14:paraId="3BCE362F" w14:textId="33264357">
            <w:pPr>
              <w:jc w:val="both"/>
              <w:rPr>
                <w:rFonts w:asciiTheme="minorHAnsi" w:hAnsiTheme="minorHAnsi" w:cstheme="minorHAnsi"/>
                <w:bCs/>
                <w:sz w:val="22"/>
                <w:szCs w:val="22"/>
              </w:rPr>
            </w:pPr>
            <w:r w:rsidRPr="00B677A8">
              <w:rPr>
                <w:rFonts w:asciiTheme="minorHAnsi" w:hAnsiTheme="minorHAnsi" w:cstheme="minorHAnsi"/>
                <w:bCs/>
                <w:sz w:val="22"/>
                <w:szCs w:val="22"/>
              </w:rPr>
              <w:t>2019-2035</w:t>
            </w:r>
          </w:p>
        </w:tc>
        <w:tc>
          <w:tcPr>
            <w:tcW w:w="851" w:type="dxa"/>
          </w:tcPr>
          <w:p w:rsidR="00AE7866" w:rsidRPr="00B677A8" w:rsidP="00AE7866" w14:paraId="71016E88" w14:textId="5419EA39">
            <w:pPr>
              <w:jc w:val="both"/>
              <w:rPr>
                <w:rFonts w:asciiTheme="minorHAnsi" w:hAnsiTheme="minorHAnsi" w:cstheme="minorHAnsi"/>
                <w:bCs/>
                <w:sz w:val="22"/>
                <w:szCs w:val="22"/>
              </w:rPr>
            </w:pPr>
            <w:r w:rsidRPr="00B677A8">
              <w:rPr>
                <w:rFonts w:asciiTheme="minorHAnsi" w:hAnsiTheme="minorHAnsi" w:cstheme="minorHAnsi"/>
                <w:bCs/>
                <w:sz w:val="22"/>
                <w:szCs w:val="22"/>
              </w:rPr>
              <w:t>MZD (SIT/NCEZ)</w:t>
            </w:r>
          </w:p>
        </w:tc>
        <w:tc>
          <w:tcPr>
            <w:tcW w:w="1417" w:type="dxa"/>
          </w:tcPr>
          <w:p w:rsidR="00AE7866" w:rsidRPr="00B677A8" w:rsidP="00AE7866" w14:paraId="5EFA3FDB" w14:textId="607D87A6">
            <w:pPr>
              <w:jc w:val="both"/>
              <w:rPr>
                <w:rFonts w:asciiTheme="minorHAnsi" w:hAnsiTheme="minorHAnsi" w:cstheme="minorHAnsi"/>
                <w:bCs/>
                <w:color w:val="000000" w:themeColor="text1"/>
                <w:sz w:val="22"/>
                <w:szCs w:val="22"/>
              </w:rPr>
            </w:pPr>
            <w:r w:rsidRPr="00B677A8">
              <w:rPr>
                <w:rFonts w:asciiTheme="minorHAnsi" w:hAnsiTheme="minorHAnsi" w:cstheme="minorHAnsi"/>
                <w:bCs/>
                <w:color w:val="000000" w:themeColor="text1"/>
                <w:sz w:val="22"/>
                <w:szCs w:val="22"/>
              </w:rPr>
              <w:t xml:space="preserve">ÚZIS, </w:t>
            </w:r>
            <w:r w:rsidRPr="00B677A8">
              <w:rPr>
                <w:rFonts w:asciiTheme="minorHAnsi" w:hAnsiTheme="minorHAnsi" w:cstheme="minorHAnsi"/>
                <w:bCs/>
                <w:color w:val="000000" w:themeColor="text1"/>
                <w:sz w:val="22"/>
                <w:szCs w:val="22"/>
              </w:rPr>
              <w:t>MZ</w:t>
            </w:r>
            <w:r w:rsidRPr="00B677A8" w:rsidR="008C6210">
              <w:rPr>
                <w:rFonts w:asciiTheme="minorHAnsi" w:hAnsiTheme="minorHAnsi" w:cstheme="minorHAnsi"/>
                <w:bCs/>
                <w:color w:val="000000" w:themeColor="text1"/>
                <w:sz w:val="22"/>
                <w:szCs w:val="22"/>
              </w:rPr>
              <w:t>D</w:t>
            </w:r>
            <w:r w:rsidRPr="00B677A8">
              <w:rPr>
                <w:rFonts w:asciiTheme="minorHAnsi" w:hAnsiTheme="minorHAnsi" w:cstheme="minorHAnsi"/>
                <w:bCs/>
                <w:color w:val="000000" w:themeColor="text1"/>
                <w:sz w:val="22"/>
                <w:szCs w:val="22"/>
              </w:rPr>
              <w:t xml:space="preserve"> (SL)</w:t>
            </w:r>
          </w:p>
        </w:tc>
        <w:tc>
          <w:tcPr>
            <w:tcW w:w="2977" w:type="dxa"/>
          </w:tcPr>
          <w:p w:rsidR="00AE7866" w:rsidRPr="00B677A8" w:rsidP="00AE7866" w14:paraId="4170967D" w14:textId="77777777">
            <w:pPr>
              <w:jc w:val="both"/>
              <w:rPr>
                <w:rFonts w:asciiTheme="minorHAnsi" w:hAnsiTheme="minorHAnsi" w:cstheme="minorHAnsi"/>
                <w:bCs/>
                <w:sz w:val="22"/>
                <w:szCs w:val="22"/>
              </w:rPr>
            </w:pPr>
          </w:p>
        </w:tc>
        <w:tc>
          <w:tcPr>
            <w:tcW w:w="3260" w:type="dxa"/>
          </w:tcPr>
          <w:p w:rsidR="00AE7866" w:rsidRPr="00B677A8" w:rsidP="00AE7866" w14:paraId="04D707B7" w14:textId="41205A75">
            <w:pPr>
              <w:jc w:val="both"/>
              <w:rPr>
                <w:rFonts w:asciiTheme="minorHAnsi" w:hAnsiTheme="minorHAnsi" w:cstheme="minorHAnsi"/>
                <w:bCs/>
                <w:sz w:val="22"/>
                <w:szCs w:val="22"/>
              </w:rPr>
            </w:pPr>
            <w:r w:rsidRPr="00B677A8">
              <w:rPr>
                <w:rFonts w:asciiTheme="minorHAnsi" w:hAnsiTheme="minorHAnsi" w:cstheme="minorHAnsi"/>
                <w:bCs/>
                <w:sz w:val="22"/>
                <w:szCs w:val="22"/>
              </w:rPr>
              <w:t>Pokračovat průběžně do roku 2035 prostřednictvím novelizace zákona č. 235/2021 Sb. o elektronizaci zdravotnictví</w:t>
            </w:r>
          </w:p>
        </w:tc>
      </w:tr>
      <w:tr w14:paraId="7DF66D81" w14:textId="484FAE8D" w:rsidTr="00F53A99">
        <w:tblPrEx>
          <w:tblW w:w="15451" w:type="dxa"/>
          <w:tblInd w:w="-147" w:type="dxa"/>
          <w:tblLayout w:type="fixed"/>
          <w:tblCellMar>
            <w:left w:w="70" w:type="dxa"/>
            <w:right w:w="70" w:type="dxa"/>
          </w:tblCellMar>
          <w:tblLook w:val="0000"/>
        </w:tblPrEx>
        <w:trPr>
          <w:trHeight w:val="909"/>
        </w:trPr>
        <w:tc>
          <w:tcPr>
            <w:tcW w:w="1560" w:type="dxa"/>
            <w:vMerge/>
          </w:tcPr>
          <w:p w:rsidR="00514ECA" w:rsidRPr="00B677A8" w:rsidP="001D72A0" w14:paraId="734D63C2" w14:textId="77777777">
            <w:pPr>
              <w:ind w:left="-38"/>
              <w:jc w:val="both"/>
              <w:rPr>
                <w:rFonts w:asciiTheme="minorHAnsi" w:hAnsiTheme="minorHAnsi" w:cstheme="minorHAnsi"/>
                <w:bCs/>
                <w:sz w:val="22"/>
                <w:szCs w:val="22"/>
              </w:rPr>
            </w:pPr>
          </w:p>
        </w:tc>
        <w:tc>
          <w:tcPr>
            <w:tcW w:w="1984" w:type="dxa"/>
          </w:tcPr>
          <w:p w:rsidR="00514ECA" w:rsidRPr="00B677A8" w:rsidP="001D72A0" w14:paraId="746B5886" w14:textId="77777777">
            <w:pPr>
              <w:jc w:val="both"/>
              <w:rPr>
                <w:rFonts w:asciiTheme="minorHAnsi" w:hAnsiTheme="minorHAnsi" w:cstheme="minorHAnsi"/>
                <w:bCs/>
                <w:sz w:val="22"/>
                <w:szCs w:val="22"/>
              </w:rPr>
            </w:pPr>
          </w:p>
        </w:tc>
        <w:tc>
          <w:tcPr>
            <w:tcW w:w="2268" w:type="dxa"/>
          </w:tcPr>
          <w:p w:rsidR="00514ECA" w:rsidRPr="00B677A8" w:rsidP="001D72A0" w14:paraId="7AF8F5E5" w14:textId="23D9C51B">
            <w:pPr>
              <w:jc w:val="both"/>
              <w:rPr>
                <w:rFonts w:asciiTheme="minorHAnsi" w:hAnsiTheme="minorHAnsi" w:cstheme="minorHAnsi"/>
                <w:bCs/>
                <w:sz w:val="22"/>
                <w:szCs w:val="22"/>
              </w:rPr>
            </w:pPr>
            <w:r w:rsidRPr="00B677A8">
              <w:rPr>
                <w:rFonts w:asciiTheme="minorHAnsi" w:hAnsiTheme="minorHAnsi" w:cstheme="minorHAnsi"/>
                <w:bCs/>
                <w:sz w:val="22"/>
                <w:szCs w:val="22"/>
              </w:rPr>
              <w:t>Rozvoj a implementace digitalizace podle koncepce rozvoje</w:t>
            </w:r>
          </w:p>
        </w:tc>
        <w:tc>
          <w:tcPr>
            <w:tcW w:w="1134" w:type="dxa"/>
          </w:tcPr>
          <w:p w:rsidR="00514ECA" w:rsidRPr="00B677A8" w:rsidP="001D72A0" w14:paraId="30FED86F" w14:textId="5BDD0CA5">
            <w:pPr>
              <w:jc w:val="both"/>
              <w:rPr>
                <w:rFonts w:asciiTheme="minorHAnsi" w:hAnsiTheme="minorHAnsi" w:cstheme="minorHAnsi"/>
                <w:bCs/>
                <w:sz w:val="22"/>
                <w:szCs w:val="22"/>
              </w:rPr>
            </w:pPr>
            <w:r w:rsidRPr="00B677A8">
              <w:rPr>
                <w:rFonts w:asciiTheme="minorHAnsi" w:hAnsiTheme="minorHAnsi" w:cstheme="minorHAnsi"/>
                <w:bCs/>
                <w:sz w:val="22"/>
                <w:szCs w:val="22"/>
              </w:rPr>
              <w:t>2021-</w:t>
            </w:r>
            <w:r w:rsidRPr="00B677A8" w:rsidR="00AE7866">
              <w:rPr>
                <w:rFonts w:asciiTheme="minorHAnsi" w:hAnsiTheme="minorHAnsi" w:cstheme="minorHAnsi"/>
                <w:bCs/>
                <w:sz w:val="22"/>
                <w:szCs w:val="22"/>
              </w:rPr>
              <w:t>2035</w:t>
            </w:r>
          </w:p>
        </w:tc>
        <w:tc>
          <w:tcPr>
            <w:tcW w:w="851" w:type="dxa"/>
          </w:tcPr>
          <w:p w:rsidR="00514ECA" w:rsidRPr="00B677A8" w:rsidP="001D72A0" w14:paraId="3BC1DB70" w14:textId="6FA1F199">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C578D1">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1D72A0" w14:paraId="170C2B9C" w14:textId="3F8D7DA9">
            <w:pPr>
              <w:jc w:val="both"/>
              <w:rPr>
                <w:rFonts w:asciiTheme="minorHAnsi" w:hAnsiTheme="minorHAnsi" w:cstheme="minorHAnsi"/>
                <w:bCs/>
                <w:color w:val="000000" w:themeColor="text1"/>
                <w:sz w:val="22"/>
                <w:szCs w:val="22"/>
              </w:rPr>
            </w:pPr>
            <w:r w:rsidRPr="00B677A8">
              <w:rPr>
                <w:rFonts w:asciiTheme="minorHAnsi" w:hAnsiTheme="minorHAnsi" w:cstheme="minorHAnsi"/>
                <w:bCs/>
                <w:color w:val="000000" w:themeColor="text1"/>
                <w:sz w:val="22"/>
                <w:szCs w:val="22"/>
              </w:rPr>
              <w:t>MZD</w:t>
            </w:r>
            <w:r w:rsidRPr="00B677A8">
              <w:rPr>
                <w:rFonts w:asciiTheme="minorHAnsi" w:hAnsiTheme="minorHAnsi" w:cstheme="minorHAnsi"/>
                <w:bCs/>
                <w:color w:val="000000" w:themeColor="text1"/>
                <w:sz w:val="22"/>
                <w:szCs w:val="22"/>
              </w:rPr>
              <w:t xml:space="preserve"> (SZ, SE, SL), ÚZIS ČR, SÚKL, pacientské organizace, poskytovatelé zdravotních služeb, MV, ČSSZ, zdravotní pojišťovny</w:t>
            </w:r>
          </w:p>
        </w:tc>
        <w:tc>
          <w:tcPr>
            <w:tcW w:w="2977" w:type="dxa"/>
          </w:tcPr>
          <w:p w:rsidR="00514ECA" w:rsidRPr="00B677A8" w:rsidP="001D72A0" w14:paraId="118C97C8" w14:textId="6BB6E893">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Plněno průběžně prostřednictvím NCEZ, které je včleněno do organizační struktury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w:t>
            </w:r>
          </w:p>
          <w:p w:rsidR="00514ECA" w:rsidRPr="00B677A8" w:rsidP="001D72A0" w14:paraId="48F1C3EE" w14:textId="59A78C27">
            <w:pPr>
              <w:jc w:val="both"/>
              <w:rPr>
                <w:rFonts w:asciiTheme="minorHAnsi" w:hAnsiTheme="minorHAnsi" w:cstheme="minorHAnsi"/>
                <w:bCs/>
                <w:sz w:val="22"/>
                <w:szCs w:val="22"/>
              </w:rPr>
            </w:pPr>
            <w:r w:rsidRPr="00B677A8">
              <w:rPr>
                <w:rFonts w:asciiTheme="minorHAnsi" w:hAnsiTheme="minorHAnsi" w:cstheme="minorHAnsi"/>
                <w:bCs/>
                <w:sz w:val="22"/>
                <w:szCs w:val="22"/>
              </w:rPr>
              <w:t>https://ncez.mzcr.cz</w:t>
            </w:r>
          </w:p>
        </w:tc>
        <w:tc>
          <w:tcPr>
            <w:tcW w:w="3260" w:type="dxa"/>
          </w:tcPr>
          <w:p w:rsidR="00514ECA" w:rsidRPr="00B677A8" w:rsidP="001D72A0" w14:paraId="33E84478" w14:textId="77777777">
            <w:pPr>
              <w:jc w:val="both"/>
              <w:rPr>
                <w:rFonts w:asciiTheme="minorHAnsi" w:hAnsiTheme="minorHAnsi" w:cstheme="minorHAnsi"/>
                <w:bCs/>
                <w:sz w:val="22"/>
                <w:szCs w:val="22"/>
              </w:rPr>
            </w:pPr>
          </w:p>
        </w:tc>
      </w:tr>
      <w:tr w14:paraId="73349A3A" w14:textId="709782FC" w:rsidTr="00F53A99">
        <w:tblPrEx>
          <w:tblW w:w="15451" w:type="dxa"/>
          <w:tblInd w:w="-147" w:type="dxa"/>
          <w:tblLayout w:type="fixed"/>
          <w:tblCellMar>
            <w:left w:w="70" w:type="dxa"/>
            <w:right w:w="70" w:type="dxa"/>
          </w:tblCellMar>
          <w:tblLook w:val="0000"/>
        </w:tblPrEx>
        <w:trPr>
          <w:trHeight w:val="835"/>
        </w:trPr>
        <w:tc>
          <w:tcPr>
            <w:tcW w:w="1560" w:type="dxa"/>
          </w:tcPr>
          <w:p w:rsidR="00514ECA" w:rsidRPr="00B677A8" w:rsidP="001D72A0" w14:paraId="1EB7EC9A" w14:textId="77777777">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2.3.2</w:t>
            </w:r>
          </w:p>
          <w:p w:rsidR="00514ECA" w:rsidRPr="00B677A8" w:rsidP="001D72A0" w14:paraId="72015B47" w14:textId="10FC9A81">
            <w:pPr>
              <w:ind w:left="-38"/>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centrální infrastruktury </w:t>
            </w:r>
            <w:r w:rsidRPr="00B677A8">
              <w:rPr>
                <w:rFonts w:asciiTheme="minorHAnsi" w:hAnsiTheme="minorHAnsi" w:cstheme="minorHAnsi"/>
                <w:bCs/>
                <w:sz w:val="22"/>
                <w:szCs w:val="22"/>
              </w:rPr>
              <w:t>pro sdílení zdravotnické dokumentace, zaručenou a bezpečnou komunikaci a výměnu informací ve zdravotnictví</w:t>
            </w:r>
          </w:p>
        </w:tc>
        <w:tc>
          <w:tcPr>
            <w:tcW w:w="1984" w:type="dxa"/>
          </w:tcPr>
          <w:p w:rsidR="00514ECA" w:rsidRPr="00B677A8" w:rsidP="001D72A0" w14:paraId="2E14FB2A" w14:textId="77777777">
            <w:pPr>
              <w:jc w:val="both"/>
              <w:rPr>
                <w:rFonts w:asciiTheme="minorHAnsi" w:hAnsiTheme="minorHAnsi" w:cstheme="minorHAnsi"/>
                <w:bCs/>
                <w:sz w:val="22"/>
                <w:szCs w:val="22"/>
              </w:rPr>
            </w:pPr>
          </w:p>
        </w:tc>
        <w:tc>
          <w:tcPr>
            <w:tcW w:w="2268" w:type="dxa"/>
          </w:tcPr>
          <w:p w:rsidR="00514ECA" w:rsidRPr="00B677A8" w:rsidP="001D72A0" w14:paraId="5F4E2C87" w14:textId="553003F7">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a tvorba centrálních služeb a komponent </w:t>
            </w:r>
            <w:r w:rsidRPr="00B677A8">
              <w:rPr>
                <w:rFonts w:asciiTheme="minorHAnsi" w:hAnsiTheme="minorHAnsi" w:cstheme="minorHAnsi"/>
                <w:bCs/>
                <w:sz w:val="22"/>
                <w:szCs w:val="22"/>
              </w:rPr>
              <w:t>elektronického zdravotnictví</w:t>
            </w:r>
          </w:p>
          <w:p w:rsidR="00514ECA" w:rsidRPr="00B677A8" w:rsidP="001D72A0" w14:paraId="550F1108"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Přístup zdravotnických pracovníků k osobním elektronickým zdravotním datům prostřednictvím služeb přístupu zdravotnických pracovníků. </w:t>
            </w:r>
          </w:p>
          <w:p w:rsidR="00514ECA" w:rsidRPr="00B677A8" w:rsidP="001D72A0" w14:paraId="3E0D3F84" w14:textId="77777777">
            <w:pPr>
              <w:jc w:val="both"/>
              <w:rPr>
                <w:rFonts w:asciiTheme="minorHAnsi" w:hAnsiTheme="minorHAnsi" w:cstheme="minorHAnsi"/>
                <w:bCs/>
                <w:sz w:val="22"/>
                <w:szCs w:val="22"/>
              </w:rPr>
            </w:pPr>
          </w:p>
          <w:p w:rsidR="00514ECA" w:rsidRPr="00B677A8" w:rsidP="001D72A0" w14:paraId="5BBF4374" w14:textId="1D4A7C1A">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Zpřístupnění osobních zdravotních dat pacientům podle nařízení o EHDS prostřednictvím služeb přístupu k elektronickým zdravotním datům </w:t>
            </w:r>
          </w:p>
        </w:tc>
        <w:tc>
          <w:tcPr>
            <w:tcW w:w="1134" w:type="dxa"/>
          </w:tcPr>
          <w:p w:rsidR="00514ECA" w:rsidRPr="00B677A8" w:rsidP="001D72A0" w14:paraId="39F846CC" w14:textId="648729F6">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8B4F49">
              <w:rPr>
                <w:rFonts w:asciiTheme="minorHAnsi" w:hAnsiTheme="minorHAnsi" w:cstheme="minorHAnsi"/>
                <w:bCs/>
                <w:sz w:val="22"/>
                <w:szCs w:val="22"/>
              </w:rPr>
              <w:t>5</w:t>
            </w:r>
          </w:p>
        </w:tc>
        <w:tc>
          <w:tcPr>
            <w:tcW w:w="851" w:type="dxa"/>
          </w:tcPr>
          <w:p w:rsidR="00514ECA" w:rsidRPr="00B677A8" w:rsidP="001D72A0" w14:paraId="04C0E1AC" w14:textId="6C4D07F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(SIT/NC</w:t>
            </w:r>
            <w:r w:rsidRPr="00B677A8">
              <w:rPr>
                <w:rFonts w:asciiTheme="minorHAnsi" w:hAnsiTheme="minorHAnsi" w:cstheme="minorHAnsi"/>
                <w:bCs/>
                <w:sz w:val="22"/>
                <w:szCs w:val="22"/>
              </w:rPr>
              <w:t xml:space="preserve">EZ), </w:t>
            </w:r>
            <w:r w:rsidRPr="00B677A8" w:rsidR="005A350D">
              <w:rPr>
                <w:rFonts w:asciiTheme="minorHAnsi" w:hAnsiTheme="minorHAnsi" w:cstheme="minorHAnsi"/>
                <w:bCs/>
                <w:sz w:val="22"/>
                <w:szCs w:val="22"/>
              </w:rPr>
              <w:t>Ú</w:t>
            </w:r>
            <w:r w:rsidRPr="00B677A8">
              <w:rPr>
                <w:rFonts w:asciiTheme="minorHAnsi" w:hAnsiTheme="minorHAnsi" w:cstheme="minorHAnsi"/>
                <w:bCs/>
                <w:sz w:val="22"/>
                <w:szCs w:val="22"/>
              </w:rPr>
              <w:t>ZIS</w:t>
            </w:r>
          </w:p>
        </w:tc>
        <w:tc>
          <w:tcPr>
            <w:tcW w:w="1417" w:type="dxa"/>
          </w:tcPr>
          <w:p w:rsidR="00514ECA" w:rsidRPr="00B677A8" w:rsidP="001D72A0" w14:paraId="769E23A0" w14:textId="4AC9D0D5">
            <w:pPr>
              <w:jc w:val="both"/>
              <w:rPr>
                <w:rFonts w:asciiTheme="minorHAnsi" w:hAnsiTheme="minorHAnsi" w:cstheme="minorHAnsi"/>
                <w:bCs/>
                <w:sz w:val="22"/>
                <w:szCs w:val="22"/>
              </w:rPr>
            </w:pPr>
            <w:r w:rsidRPr="00B677A8">
              <w:rPr>
                <w:rFonts w:asciiTheme="minorHAnsi" w:hAnsiTheme="minorHAnsi" w:cstheme="minorHAnsi"/>
                <w:bCs/>
                <w:noProof/>
                <w:sz w:val="22"/>
                <w:szCs w:val="22"/>
              </w:rPr>
              <w:t>MZD</w:t>
            </w:r>
            <w:r w:rsidRPr="00B677A8">
              <w:rPr>
                <w:rFonts w:asciiTheme="minorHAnsi" w:hAnsiTheme="minorHAnsi" w:cstheme="minorHAnsi"/>
                <w:bCs/>
                <w:noProof/>
                <w:sz w:val="22"/>
                <w:szCs w:val="22"/>
              </w:rPr>
              <w:t xml:space="preserve"> (</w:t>
            </w:r>
            <w:r w:rsidRPr="00B677A8">
              <w:rPr>
                <w:rFonts w:asciiTheme="minorHAnsi" w:hAnsiTheme="minorHAnsi" w:cstheme="minorHAnsi"/>
                <w:bCs/>
                <w:sz w:val="22"/>
                <w:szCs w:val="22"/>
              </w:rPr>
              <w:t>SZ, SE, SL)</w:t>
            </w:r>
            <w:r w:rsidRPr="00B677A8">
              <w:rPr>
                <w:rFonts w:asciiTheme="minorHAnsi" w:hAnsiTheme="minorHAnsi" w:cstheme="minorHAnsi"/>
                <w:bCs/>
                <w:noProof/>
                <w:sz w:val="22"/>
                <w:szCs w:val="22"/>
              </w:rPr>
              <w:t xml:space="preserve">, SÚKL, věcní a </w:t>
            </w:r>
            <w:r w:rsidRPr="00B677A8">
              <w:rPr>
                <w:rFonts w:asciiTheme="minorHAnsi" w:hAnsiTheme="minorHAnsi" w:cstheme="minorHAnsi"/>
                <w:bCs/>
                <w:noProof/>
                <w:sz w:val="22"/>
                <w:szCs w:val="22"/>
              </w:rPr>
              <w:t>techničtí správci centrálních komponent, MV</w:t>
            </w:r>
            <w:r w:rsidRPr="00B677A8" w:rsidR="004D6069">
              <w:rPr>
                <w:rFonts w:asciiTheme="minorHAnsi" w:hAnsiTheme="minorHAnsi" w:cstheme="minorHAnsi"/>
                <w:bCs/>
                <w:noProof/>
                <w:sz w:val="22"/>
                <w:szCs w:val="22"/>
              </w:rPr>
              <w:t>, DIA</w:t>
            </w:r>
            <w:r w:rsidRPr="00B677A8">
              <w:rPr>
                <w:rFonts w:asciiTheme="minorHAnsi" w:hAnsiTheme="minorHAnsi" w:cstheme="minorHAnsi"/>
                <w:bCs/>
                <w:noProof/>
                <w:sz w:val="22"/>
                <w:szCs w:val="22"/>
              </w:rPr>
              <w:t xml:space="preserve"> </w:t>
            </w:r>
          </w:p>
        </w:tc>
        <w:tc>
          <w:tcPr>
            <w:tcW w:w="2977" w:type="dxa"/>
          </w:tcPr>
          <w:p w:rsidR="00514ECA" w:rsidRPr="00B677A8" w:rsidP="001D72A0" w14:paraId="2BC9AE68" w14:textId="4DF1498C">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projektů NPO</w:t>
            </w:r>
          </w:p>
        </w:tc>
        <w:tc>
          <w:tcPr>
            <w:tcW w:w="3260" w:type="dxa"/>
          </w:tcPr>
          <w:p w:rsidR="00514ECA" w:rsidRPr="00B677A8" w:rsidP="001D72A0" w14:paraId="7F89041D" w14:textId="1F93A775">
            <w:pPr>
              <w:jc w:val="both"/>
              <w:rPr>
                <w:rFonts w:asciiTheme="minorHAnsi" w:hAnsiTheme="minorHAnsi" w:cstheme="minorHAnsi"/>
                <w:bCs/>
                <w:sz w:val="22"/>
                <w:szCs w:val="22"/>
              </w:rPr>
            </w:pPr>
            <w:r w:rsidRPr="00B677A8">
              <w:rPr>
                <w:rFonts w:asciiTheme="minorHAnsi" w:hAnsiTheme="minorHAnsi" w:cstheme="minorHAnsi"/>
                <w:bCs/>
                <w:sz w:val="22"/>
                <w:szCs w:val="22"/>
              </w:rPr>
              <w:t>Základní stavební kameny infrastruktury</w:t>
            </w:r>
            <w:r w:rsidRPr="00B677A8" w:rsidR="008C0A8E">
              <w:rPr>
                <w:rFonts w:asciiTheme="minorHAnsi" w:hAnsiTheme="minorHAnsi" w:cstheme="minorHAnsi"/>
                <w:bCs/>
                <w:sz w:val="22"/>
                <w:szCs w:val="22"/>
              </w:rPr>
              <w:t xml:space="preserve"> (kmenové registry, prostředí vytvářející důvěru</w:t>
            </w:r>
            <w:r w:rsidRPr="00B677A8" w:rsidR="008E6E09">
              <w:rPr>
                <w:rFonts w:asciiTheme="minorHAnsi" w:hAnsiTheme="minorHAnsi" w:cstheme="minorHAnsi"/>
                <w:bCs/>
                <w:sz w:val="22"/>
                <w:szCs w:val="22"/>
              </w:rPr>
              <w:t>,</w:t>
            </w:r>
            <w:r w:rsidRPr="00B677A8" w:rsidR="008C0A8E">
              <w:rPr>
                <w:rFonts w:asciiTheme="minorHAnsi" w:hAnsiTheme="minorHAnsi" w:cstheme="minorHAnsi"/>
                <w:bCs/>
                <w:sz w:val="22"/>
                <w:szCs w:val="22"/>
              </w:rPr>
              <w:t xml:space="preserve"> atd.</w:t>
            </w:r>
            <w:r w:rsidRPr="00B677A8" w:rsidR="008E6E09">
              <w:rPr>
                <w:rFonts w:asciiTheme="minorHAnsi" w:hAnsiTheme="minorHAnsi" w:cstheme="minorHAnsi"/>
                <w:bCs/>
                <w:sz w:val="22"/>
                <w:szCs w:val="22"/>
              </w:rPr>
              <w:t>)</w:t>
            </w:r>
            <w:r w:rsidRPr="00B677A8" w:rsidR="00665BDE">
              <w:rPr>
                <w:rFonts w:asciiTheme="minorHAnsi" w:hAnsiTheme="minorHAnsi" w:cstheme="minorHAnsi"/>
                <w:bCs/>
                <w:sz w:val="22"/>
                <w:szCs w:val="22"/>
              </w:rPr>
              <w:t xml:space="preserve">, </w:t>
            </w:r>
            <w:r w:rsidRPr="00B677A8" w:rsidR="00665BDE">
              <w:rPr>
                <w:rFonts w:asciiTheme="minorHAnsi" w:hAnsiTheme="minorHAnsi" w:cstheme="minorHAnsi"/>
                <w:bCs/>
                <w:sz w:val="22"/>
                <w:szCs w:val="22"/>
              </w:rPr>
              <w:t xml:space="preserve">vymezené zákonem o elektronizaci zdravotnictví, </w:t>
            </w:r>
            <w:r w:rsidRPr="00B677A8">
              <w:rPr>
                <w:rFonts w:asciiTheme="minorHAnsi" w:hAnsiTheme="minorHAnsi" w:cstheme="minorHAnsi"/>
                <w:bCs/>
                <w:sz w:val="22"/>
                <w:szCs w:val="22"/>
              </w:rPr>
              <w:t>bud</w:t>
            </w:r>
            <w:r w:rsidRPr="00B677A8" w:rsidR="00891DC9">
              <w:rPr>
                <w:rFonts w:asciiTheme="minorHAnsi" w:hAnsiTheme="minorHAnsi" w:cstheme="minorHAnsi"/>
                <w:bCs/>
                <w:sz w:val="22"/>
                <w:szCs w:val="22"/>
              </w:rPr>
              <w:t xml:space="preserve">ou vytvořeny a uvedeny do provozu </w:t>
            </w:r>
            <w:r w:rsidRPr="00B677A8">
              <w:rPr>
                <w:rFonts w:asciiTheme="minorHAnsi" w:hAnsiTheme="minorHAnsi" w:cstheme="minorHAnsi"/>
                <w:bCs/>
                <w:sz w:val="22"/>
                <w:szCs w:val="22"/>
              </w:rPr>
              <w:t xml:space="preserve"> </w:t>
            </w:r>
            <w:r w:rsidRPr="00B677A8" w:rsidR="00891DC9">
              <w:rPr>
                <w:rFonts w:asciiTheme="minorHAnsi" w:hAnsiTheme="minorHAnsi" w:cstheme="minorHAnsi"/>
                <w:bCs/>
                <w:sz w:val="22"/>
                <w:szCs w:val="22"/>
              </w:rPr>
              <w:t>v rámci projektů NPO do roku 2026</w:t>
            </w:r>
            <w:r w:rsidRPr="00B677A8" w:rsidR="005E18F6">
              <w:rPr>
                <w:rFonts w:asciiTheme="minorHAnsi" w:hAnsiTheme="minorHAnsi" w:cstheme="minorHAnsi"/>
                <w:bCs/>
                <w:sz w:val="22"/>
                <w:szCs w:val="22"/>
              </w:rPr>
              <w:t xml:space="preserve"> (HW i SW)</w:t>
            </w:r>
            <w:r w:rsidRPr="00B677A8" w:rsidR="00665BDE">
              <w:rPr>
                <w:rFonts w:asciiTheme="minorHAnsi" w:hAnsiTheme="minorHAnsi" w:cstheme="minorHAnsi"/>
                <w:bCs/>
                <w:sz w:val="22"/>
                <w:szCs w:val="22"/>
              </w:rPr>
              <w:t>.</w:t>
            </w:r>
            <w:r w:rsidRPr="00B677A8" w:rsidR="00610FD4">
              <w:rPr>
                <w:rFonts w:asciiTheme="minorHAnsi" w:hAnsiTheme="minorHAnsi" w:cstheme="minorHAnsi"/>
                <w:bCs/>
                <w:sz w:val="22"/>
                <w:szCs w:val="22"/>
              </w:rPr>
              <w:t xml:space="preserve"> </w:t>
            </w:r>
            <w:r w:rsidRPr="00B677A8" w:rsidR="00D445A9">
              <w:rPr>
                <w:rFonts w:asciiTheme="minorHAnsi" w:hAnsiTheme="minorHAnsi" w:cstheme="minorHAnsi"/>
                <w:bCs/>
                <w:sz w:val="22"/>
                <w:szCs w:val="22"/>
              </w:rPr>
              <w:t xml:space="preserve">V </w:t>
            </w:r>
            <w:r w:rsidRPr="00B677A8" w:rsidR="00610FD4">
              <w:rPr>
                <w:rFonts w:asciiTheme="minorHAnsi" w:hAnsiTheme="minorHAnsi" w:cstheme="minorHAnsi"/>
                <w:bCs/>
                <w:sz w:val="22"/>
                <w:szCs w:val="22"/>
              </w:rPr>
              <w:t xml:space="preserve">období do roku 2035 </w:t>
            </w:r>
            <w:r w:rsidRPr="00B677A8" w:rsidR="00D445A9">
              <w:rPr>
                <w:rFonts w:asciiTheme="minorHAnsi" w:hAnsiTheme="minorHAnsi" w:cstheme="minorHAnsi"/>
                <w:bCs/>
                <w:sz w:val="22"/>
                <w:szCs w:val="22"/>
              </w:rPr>
              <w:t xml:space="preserve">je nutné </w:t>
            </w:r>
            <w:r w:rsidRPr="00B677A8" w:rsidR="00610FD4">
              <w:rPr>
                <w:rFonts w:asciiTheme="minorHAnsi" w:hAnsiTheme="minorHAnsi" w:cstheme="minorHAnsi"/>
                <w:bCs/>
                <w:sz w:val="22"/>
                <w:szCs w:val="22"/>
              </w:rPr>
              <w:t>z</w:t>
            </w:r>
            <w:r w:rsidRPr="00B677A8" w:rsidR="00675B15">
              <w:rPr>
                <w:rFonts w:asciiTheme="minorHAnsi" w:hAnsiTheme="minorHAnsi" w:cstheme="minorHAnsi"/>
                <w:bCs/>
                <w:sz w:val="22"/>
                <w:szCs w:val="22"/>
              </w:rPr>
              <w:t xml:space="preserve">ajistit udržitelnost </w:t>
            </w:r>
            <w:r w:rsidRPr="00B677A8" w:rsidR="003D5521">
              <w:rPr>
                <w:rFonts w:asciiTheme="minorHAnsi" w:hAnsiTheme="minorHAnsi" w:cstheme="minorHAnsi"/>
                <w:bCs/>
                <w:sz w:val="22"/>
                <w:szCs w:val="22"/>
              </w:rPr>
              <w:t>budovaných komponent a</w:t>
            </w:r>
            <w:r w:rsidRPr="00B677A8" w:rsidR="00610FD4">
              <w:rPr>
                <w:rFonts w:asciiTheme="minorHAnsi" w:hAnsiTheme="minorHAnsi" w:cstheme="minorHAnsi"/>
                <w:bCs/>
                <w:sz w:val="22"/>
                <w:szCs w:val="22"/>
              </w:rPr>
              <w:t xml:space="preserve"> jejich průběžnou modernizaci podle </w:t>
            </w:r>
            <w:r w:rsidRPr="00B677A8" w:rsidR="000639D6">
              <w:rPr>
                <w:rFonts w:asciiTheme="minorHAnsi" w:hAnsiTheme="minorHAnsi" w:cstheme="minorHAnsi"/>
                <w:bCs/>
                <w:sz w:val="22"/>
                <w:szCs w:val="22"/>
              </w:rPr>
              <w:t>požadavků z praktického provozu</w:t>
            </w:r>
            <w:r w:rsidRPr="00B677A8" w:rsidR="003D5521">
              <w:rPr>
                <w:rFonts w:asciiTheme="minorHAnsi" w:hAnsiTheme="minorHAnsi" w:cstheme="minorHAnsi"/>
                <w:bCs/>
                <w:sz w:val="22"/>
                <w:szCs w:val="22"/>
              </w:rPr>
              <w:t xml:space="preserve"> </w:t>
            </w:r>
            <w:r w:rsidRPr="00B677A8" w:rsidR="00DB00A1">
              <w:rPr>
                <w:rFonts w:asciiTheme="minorHAnsi" w:hAnsiTheme="minorHAnsi" w:cstheme="minorHAnsi"/>
                <w:bCs/>
                <w:sz w:val="22"/>
                <w:szCs w:val="22"/>
              </w:rPr>
              <w:t>a dalšího legislativního vývoje.</w:t>
            </w:r>
            <w:r w:rsidRPr="00B677A8" w:rsidR="00154181">
              <w:rPr>
                <w:rFonts w:asciiTheme="minorHAnsi" w:hAnsiTheme="minorHAnsi" w:cstheme="minorHAnsi"/>
                <w:bCs/>
                <w:sz w:val="22"/>
                <w:szCs w:val="22"/>
              </w:rPr>
              <w:t xml:space="preserve"> Přístup občanů ke zdravotním záznamům bude prostřednictvím </w:t>
            </w:r>
            <w:r w:rsidRPr="00B677A8" w:rsidR="00D75294">
              <w:rPr>
                <w:rFonts w:asciiTheme="minorHAnsi" w:hAnsiTheme="minorHAnsi" w:cstheme="minorHAnsi"/>
                <w:bCs/>
                <w:sz w:val="22"/>
                <w:szCs w:val="22"/>
              </w:rPr>
              <w:t>portálu NPEZ</w:t>
            </w:r>
            <w:r w:rsidRPr="00B677A8" w:rsidR="00BC53DA">
              <w:rPr>
                <w:rFonts w:asciiTheme="minorHAnsi" w:hAnsiTheme="minorHAnsi" w:cstheme="minorHAnsi"/>
                <w:bCs/>
                <w:sz w:val="22"/>
                <w:szCs w:val="22"/>
              </w:rPr>
              <w:t xml:space="preserve">, kde budou i služby pro zdravotníky </w:t>
            </w:r>
            <w:r w:rsidRPr="00B677A8" w:rsidR="00D75294">
              <w:rPr>
                <w:rFonts w:asciiTheme="minorHAnsi" w:hAnsiTheme="minorHAnsi" w:cstheme="minorHAnsi"/>
                <w:bCs/>
                <w:sz w:val="22"/>
                <w:szCs w:val="22"/>
              </w:rPr>
              <w:t xml:space="preserve"> a </w:t>
            </w:r>
            <w:r w:rsidRPr="00B677A8" w:rsidR="00BC53DA">
              <w:rPr>
                <w:rFonts w:asciiTheme="minorHAnsi" w:hAnsiTheme="minorHAnsi" w:cstheme="minorHAnsi"/>
                <w:bCs/>
                <w:sz w:val="22"/>
                <w:szCs w:val="22"/>
              </w:rPr>
              <w:t xml:space="preserve">prostřednictvím </w:t>
            </w:r>
            <w:r w:rsidRPr="00B677A8" w:rsidR="00D75294">
              <w:rPr>
                <w:rFonts w:asciiTheme="minorHAnsi" w:hAnsiTheme="minorHAnsi" w:cstheme="minorHAnsi"/>
                <w:bCs/>
                <w:sz w:val="22"/>
                <w:szCs w:val="22"/>
              </w:rPr>
              <w:t>mobilní aplikace EZKarta</w:t>
            </w:r>
          </w:p>
        </w:tc>
      </w:tr>
      <w:tr w14:paraId="5CA2EC7E" w14:textId="466FD56E" w:rsidTr="00F53A99">
        <w:tblPrEx>
          <w:tblW w:w="15451" w:type="dxa"/>
          <w:tblInd w:w="-147" w:type="dxa"/>
          <w:tblLayout w:type="fixed"/>
          <w:tblCellMar>
            <w:left w:w="70" w:type="dxa"/>
            <w:right w:w="70" w:type="dxa"/>
          </w:tblCellMar>
          <w:tblLook w:val="0000"/>
        </w:tblPrEx>
        <w:trPr>
          <w:trHeight w:val="835"/>
        </w:trPr>
        <w:tc>
          <w:tcPr>
            <w:tcW w:w="1560" w:type="dxa"/>
            <w:vMerge w:val="restart"/>
          </w:tcPr>
          <w:p w:rsidR="00514ECA" w:rsidRPr="00B677A8" w:rsidP="00B803CB" w14:paraId="236DA573" w14:textId="77777777">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2.3.3</w:t>
            </w:r>
          </w:p>
          <w:p w:rsidR="00514ECA" w:rsidRPr="00B677A8" w:rsidP="00B803CB" w14:paraId="440DAA17" w14:textId="346FFB7C">
            <w:pPr>
              <w:ind w:left="-38"/>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systému poskytování služeb autoritativních údajů, resortních autoritativních </w:t>
            </w:r>
            <w:r w:rsidRPr="00B677A8">
              <w:rPr>
                <w:rFonts w:asciiTheme="minorHAnsi" w:hAnsiTheme="minorHAnsi" w:cstheme="minorHAnsi"/>
                <w:bCs/>
                <w:sz w:val="22"/>
                <w:szCs w:val="22"/>
              </w:rPr>
              <w:t>registrů a modelu zaručených dat</w:t>
            </w:r>
          </w:p>
        </w:tc>
        <w:tc>
          <w:tcPr>
            <w:tcW w:w="1984" w:type="dxa"/>
          </w:tcPr>
          <w:p w:rsidR="00514ECA" w:rsidRPr="00B677A8" w:rsidP="00B803CB" w14:paraId="37FAC3E3" w14:textId="77777777">
            <w:pPr>
              <w:jc w:val="both"/>
              <w:rPr>
                <w:rFonts w:asciiTheme="minorHAnsi" w:hAnsiTheme="minorHAnsi" w:cstheme="minorHAnsi"/>
                <w:bCs/>
                <w:sz w:val="22"/>
                <w:szCs w:val="22"/>
              </w:rPr>
            </w:pPr>
          </w:p>
        </w:tc>
        <w:tc>
          <w:tcPr>
            <w:tcW w:w="2268" w:type="dxa"/>
          </w:tcPr>
          <w:p w:rsidR="00514ECA" w:rsidRPr="00B677A8" w:rsidP="00B803CB" w14:paraId="114FD338" w14:textId="75F44B54">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Zákon o elektronizaci zdravotnictví </w:t>
            </w:r>
          </w:p>
          <w:p w:rsidR="00514ECA" w:rsidRPr="00B677A8" w:rsidP="00B803CB" w14:paraId="5B431A7B" w14:textId="2F414384">
            <w:pPr>
              <w:jc w:val="both"/>
              <w:rPr>
                <w:rFonts w:asciiTheme="minorHAnsi" w:hAnsiTheme="minorHAnsi" w:cstheme="minorHAnsi"/>
                <w:bCs/>
                <w:sz w:val="22"/>
                <w:szCs w:val="22"/>
              </w:rPr>
            </w:pPr>
            <w:r w:rsidRPr="00B677A8">
              <w:rPr>
                <w:rFonts w:asciiTheme="minorHAnsi" w:hAnsiTheme="minorHAnsi" w:cstheme="minorHAnsi"/>
                <w:bCs/>
                <w:sz w:val="22"/>
                <w:szCs w:val="22"/>
              </w:rPr>
              <w:t>Nařízení o EHDS a příslušná sekundární legislativa</w:t>
            </w:r>
          </w:p>
        </w:tc>
        <w:tc>
          <w:tcPr>
            <w:tcW w:w="1134" w:type="dxa"/>
          </w:tcPr>
          <w:p w:rsidR="00514ECA" w:rsidRPr="00B677A8" w:rsidP="00B803CB" w14:paraId="6B12FC08" w14:textId="2ECA0530">
            <w:pPr>
              <w:jc w:val="both"/>
              <w:rPr>
                <w:rFonts w:asciiTheme="minorHAnsi" w:hAnsiTheme="minorHAnsi" w:cstheme="minorHAnsi"/>
                <w:bCs/>
                <w:sz w:val="22"/>
                <w:szCs w:val="22"/>
              </w:rPr>
            </w:pPr>
            <w:r w:rsidRPr="00B677A8">
              <w:rPr>
                <w:rFonts w:asciiTheme="minorHAnsi" w:hAnsiTheme="minorHAnsi" w:cstheme="minorHAnsi"/>
                <w:bCs/>
                <w:sz w:val="22"/>
                <w:szCs w:val="22"/>
              </w:rPr>
              <w:t>2019-2022</w:t>
            </w:r>
            <w:r w:rsidRPr="00B677A8" w:rsidR="00DC6FCB">
              <w:rPr>
                <w:rFonts w:asciiTheme="minorHAnsi" w:hAnsiTheme="minorHAnsi" w:cstheme="minorHAnsi"/>
                <w:bCs/>
                <w:sz w:val="22"/>
                <w:szCs w:val="22"/>
              </w:rPr>
              <w:t>2035</w:t>
            </w:r>
          </w:p>
        </w:tc>
        <w:tc>
          <w:tcPr>
            <w:tcW w:w="851" w:type="dxa"/>
          </w:tcPr>
          <w:p w:rsidR="00514ECA" w:rsidRPr="00B677A8" w:rsidP="00B803CB" w14:paraId="525BADF3" w14:textId="3B5D6567">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6D05C6">
              <w:rPr>
                <w:rFonts w:asciiTheme="minorHAnsi" w:hAnsiTheme="minorHAnsi" w:cstheme="minorHAnsi"/>
                <w:bCs/>
                <w:sz w:val="22"/>
                <w:szCs w:val="22"/>
              </w:rPr>
              <w:t>/NCEZ</w:t>
            </w:r>
            <w:r w:rsidRPr="00B677A8">
              <w:rPr>
                <w:rFonts w:asciiTheme="minorHAnsi" w:hAnsiTheme="minorHAnsi" w:cstheme="minorHAnsi"/>
                <w:bCs/>
                <w:sz w:val="22"/>
                <w:szCs w:val="22"/>
              </w:rPr>
              <w:t>)</w:t>
            </w:r>
            <w:r w:rsidRPr="00B677A8" w:rsidR="006D05C6">
              <w:rPr>
                <w:rFonts w:asciiTheme="minorHAnsi" w:hAnsiTheme="minorHAnsi" w:cstheme="minorHAnsi"/>
                <w:bCs/>
                <w:sz w:val="22"/>
                <w:szCs w:val="22"/>
              </w:rPr>
              <w:t xml:space="preserve">, </w:t>
            </w:r>
            <w:r w:rsidRPr="00B677A8">
              <w:rPr>
                <w:rFonts w:asciiTheme="minorHAnsi" w:hAnsiTheme="minorHAnsi" w:cstheme="minorHAnsi"/>
                <w:bCs/>
                <w:sz w:val="22"/>
                <w:szCs w:val="22"/>
              </w:rPr>
              <w:t>ÚZIS</w:t>
            </w:r>
          </w:p>
        </w:tc>
        <w:tc>
          <w:tcPr>
            <w:tcW w:w="1417" w:type="dxa"/>
          </w:tcPr>
          <w:p w:rsidR="00514ECA" w:rsidRPr="00B677A8" w:rsidP="00B803CB" w14:paraId="222D249D" w14:textId="0907FB16">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DIA, </w:t>
            </w:r>
            <w:r w:rsidRPr="00B677A8">
              <w:rPr>
                <w:rFonts w:asciiTheme="minorHAnsi" w:hAnsiTheme="minorHAnsi" w:cstheme="minorHAnsi"/>
                <w:bCs/>
                <w:sz w:val="22"/>
                <w:szCs w:val="22"/>
              </w:rPr>
              <w:t xml:space="preserve">MV,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(SZ, SL)</w:t>
            </w:r>
          </w:p>
        </w:tc>
        <w:tc>
          <w:tcPr>
            <w:tcW w:w="2977" w:type="dxa"/>
          </w:tcPr>
          <w:p w:rsidR="00514ECA" w:rsidRPr="00B677A8" w:rsidP="00B803CB" w14:paraId="38E24CA3" w14:textId="157DE7DB">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Splněno. Zákon č. 325/2021 Sb., o elektronizaci zdravotnictví nabyl účinnosti dnem 1. ledna 2022 Práce související s nařízením o EHDS budou zaháleno po schválení příslušných aktů. </w:t>
            </w:r>
          </w:p>
        </w:tc>
        <w:tc>
          <w:tcPr>
            <w:tcW w:w="3260" w:type="dxa"/>
          </w:tcPr>
          <w:p w:rsidR="00514ECA" w:rsidRPr="00B677A8" w:rsidP="00B803CB" w14:paraId="4B5BB168" w14:textId="52117724">
            <w:pPr>
              <w:jc w:val="both"/>
              <w:rPr>
                <w:rFonts w:asciiTheme="minorHAnsi" w:hAnsiTheme="minorHAnsi" w:cstheme="minorHAnsi"/>
                <w:bCs/>
                <w:sz w:val="22"/>
                <w:szCs w:val="22"/>
              </w:rPr>
            </w:pPr>
            <w:r w:rsidRPr="00B677A8">
              <w:rPr>
                <w:rFonts w:asciiTheme="minorHAnsi" w:hAnsiTheme="minorHAnsi" w:cstheme="minorHAnsi"/>
                <w:bCs/>
                <w:sz w:val="22"/>
                <w:szCs w:val="22"/>
              </w:rPr>
              <w:t>V roce 2025 zahájit přípravu legislativních změn</w:t>
            </w:r>
            <w:r w:rsidRPr="00B677A8" w:rsidR="00563350">
              <w:rPr>
                <w:rFonts w:asciiTheme="minorHAnsi" w:hAnsiTheme="minorHAnsi" w:cstheme="minorHAnsi"/>
                <w:bCs/>
                <w:sz w:val="22"/>
                <w:szCs w:val="22"/>
              </w:rPr>
              <w:t xml:space="preserve"> navazujících na EHDS</w:t>
            </w:r>
            <w:r w:rsidRPr="00B677A8">
              <w:rPr>
                <w:rFonts w:asciiTheme="minorHAnsi" w:hAnsiTheme="minorHAnsi" w:cstheme="minorHAnsi"/>
                <w:bCs/>
                <w:sz w:val="22"/>
                <w:szCs w:val="22"/>
              </w:rPr>
              <w:t xml:space="preserve"> a </w:t>
            </w:r>
            <w:r w:rsidRPr="00B677A8" w:rsidR="002D355C">
              <w:rPr>
                <w:rFonts w:asciiTheme="minorHAnsi" w:hAnsiTheme="minorHAnsi" w:cstheme="minorHAnsi"/>
                <w:bCs/>
                <w:sz w:val="22"/>
                <w:szCs w:val="22"/>
              </w:rPr>
              <w:t xml:space="preserve">do roku 2026 </w:t>
            </w:r>
            <w:r w:rsidRPr="00B677A8">
              <w:rPr>
                <w:rFonts w:asciiTheme="minorHAnsi" w:hAnsiTheme="minorHAnsi" w:cstheme="minorHAnsi"/>
                <w:bCs/>
                <w:sz w:val="22"/>
                <w:szCs w:val="22"/>
              </w:rPr>
              <w:t xml:space="preserve">realizovat přípravný projekt </w:t>
            </w:r>
            <w:r w:rsidRPr="00B677A8" w:rsidR="00DC6FCB">
              <w:rPr>
                <w:rFonts w:asciiTheme="minorHAnsi" w:hAnsiTheme="minorHAnsi" w:cstheme="minorHAnsi"/>
                <w:bCs/>
                <w:sz w:val="22"/>
                <w:szCs w:val="22"/>
              </w:rPr>
              <w:t xml:space="preserve">z NPO. </w:t>
            </w:r>
            <w:r w:rsidRPr="00B677A8" w:rsidR="002736E7">
              <w:rPr>
                <w:rFonts w:asciiTheme="minorHAnsi" w:hAnsiTheme="minorHAnsi" w:cstheme="minorHAnsi"/>
                <w:bCs/>
                <w:sz w:val="22"/>
                <w:szCs w:val="22"/>
              </w:rPr>
              <w:t xml:space="preserve">Do roku 2035 </w:t>
            </w:r>
            <w:r w:rsidRPr="00B677A8" w:rsidR="00A52685">
              <w:rPr>
                <w:rFonts w:asciiTheme="minorHAnsi" w:hAnsiTheme="minorHAnsi" w:cstheme="minorHAnsi"/>
                <w:bCs/>
                <w:sz w:val="22"/>
                <w:szCs w:val="22"/>
              </w:rPr>
              <w:t xml:space="preserve">zajistit </w:t>
            </w:r>
            <w:r w:rsidRPr="00B677A8" w:rsidR="00DC6FCB">
              <w:rPr>
                <w:rFonts w:asciiTheme="minorHAnsi" w:hAnsiTheme="minorHAnsi" w:cstheme="minorHAnsi"/>
                <w:bCs/>
                <w:sz w:val="22"/>
                <w:szCs w:val="22"/>
              </w:rPr>
              <w:t xml:space="preserve">postupně </w:t>
            </w:r>
            <w:r w:rsidRPr="00B677A8" w:rsidR="00A52685">
              <w:rPr>
                <w:rFonts w:asciiTheme="minorHAnsi" w:hAnsiTheme="minorHAnsi" w:cstheme="minorHAnsi"/>
                <w:bCs/>
                <w:sz w:val="22"/>
                <w:szCs w:val="22"/>
              </w:rPr>
              <w:t>soula</w:t>
            </w:r>
            <w:r w:rsidRPr="00B677A8" w:rsidR="00A71A6E">
              <w:rPr>
                <w:rFonts w:asciiTheme="minorHAnsi" w:hAnsiTheme="minorHAnsi" w:cstheme="minorHAnsi"/>
                <w:bCs/>
                <w:sz w:val="22"/>
                <w:szCs w:val="22"/>
              </w:rPr>
              <w:t>d</w:t>
            </w:r>
            <w:r w:rsidRPr="00B677A8" w:rsidR="00A52685">
              <w:rPr>
                <w:rFonts w:asciiTheme="minorHAnsi" w:hAnsiTheme="minorHAnsi" w:cstheme="minorHAnsi"/>
                <w:bCs/>
                <w:sz w:val="22"/>
                <w:szCs w:val="22"/>
              </w:rPr>
              <w:t xml:space="preserve"> s legislativním vývojem, zejména s</w:t>
            </w:r>
            <w:r w:rsidRPr="00B677A8" w:rsidR="00764D1E">
              <w:rPr>
                <w:rFonts w:asciiTheme="minorHAnsi" w:hAnsiTheme="minorHAnsi" w:cstheme="minorHAnsi"/>
                <w:bCs/>
                <w:sz w:val="22"/>
                <w:szCs w:val="22"/>
              </w:rPr>
              <w:t xml:space="preserve"> požadavky </w:t>
            </w:r>
            <w:r w:rsidRPr="00B677A8" w:rsidR="00A52685">
              <w:rPr>
                <w:rFonts w:asciiTheme="minorHAnsi" w:hAnsiTheme="minorHAnsi" w:cstheme="minorHAnsi"/>
                <w:bCs/>
                <w:sz w:val="22"/>
                <w:szCs w:val="22"/>
              </w:rPr>
              <w:t xml:space="preserve">EHDS a jeho </w:t>
            </w:r>
            <w:r w:rsidRPr="00B677A8" w:rsidR="00F07B65">
              <w:rPr>
                <w:rFonts w:asciiTheme="minorHAnsi" w:hAnsiTheme="minorHAnsi" w:cstheme="minorHAnsi"/>
                <w:bCs/>
                <w:sz w:val="22"/>
                <w:szCs w:val="22"/>
              </w:rPr>
              <w:t xml:space="preserve">vznikající </w:t>
            </w:r>
            <w:r w:rsidRPr="00B677A8" w:rsidR="00A71A6E">
              <w:rPr>
                <w:rFonts w:asciiTheme="minorHAnsi" w:hAnsiTheme="minorHAnsi" w:cstheme="minorHAnsi"/>
                <w:bCs/>
                <w:sz w:val="22"/>
                <w:szCs w:val="22"/>
              </w:rPr>
              <w:t>implementační praxí.</w:t>
            </w:r>
          </w:p>
        </w:tc>
      </w:tr>
      <w:tr w14:paraId="2590EC73" w14:textId="17B1B175"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01FC4232" w14:textId="77777777">
            <w:pPr>
              <w:ind w:left="-38"/>
              <w:jc w:val="both"/>
              <w:rPr>
                <w:rFonts w:asciiTheme="minorHAnsi" w:hAnsiTheme="minorHAnsi" w:cstheme="minorHAnsi"/>
                <w:bCs/>
                <w:sz w:val="22"/>
                <w:szCs w:val="22"/>
              </w:rPr>
            </w:pPr>
          </w:p>
        </w:tc>
        <w:tc>
          <w:tcPr>
            <w:tcW w:w="1984" w:type="dxa"/>
          </w:tcPr>
          <w:p w:rsidR="00514ECA" w:rsidRPr="00B677A8" w:rsidP="00B803CB" w14:paraId="0063A03D" w14:textId="77777777">
            <w:pPr>
              <w:jc w:val="both"/>
              <w:rPr>
                <w:rFonts w:asciiTheme="minorHAnsi" w:hAnsiTheme="minorHAnsi" w:cstheme="minorHAnsi"/>
                <w:bCs/>
                <w:sz w:val="22"/>
                <w:szCs w:val="22"/>
              </w:rPr>
            </w:pPr>
          </w:p>
        </w:tc>
        <w:tc>
          <w:tcPr>
            <w:tcW w:w="2268" w:type="dxa"/>
          </w:tcPr>
          <w:p w:rsidR="00514ECA" w:rsidRPr="00B677A8" w:rsidP="00B803CB" w14:paraId="458433F5" w14:textId="2A39A45F">
            <w:pPr>
              <w:jc w:val="both"/>
              <w:rPr>
                <w:rFonts w:asciiTheme="minorHAnsi" w:hAnsiTheme="minorHAnsi" w:cstheme="minorHAnsi"/>
                <w:bCs/>
                <w:sz w:val="22"/>
                <w:szCs w:val="22"/>
              </w:rPr>
            </w:pPr>
            <w:r w:rsidRPr="00B677A8">
              <w:rPr>
                <w:rFonts w:asciiTheme="minorHAnsi" w:hAnsiTheme="minorHAnsi" w:cstheme="minorHAnsi"/>
                <w:bCs/>
                <w:sz w:val="22"/>
                <w:szCs w:val="22"/>
              </w:rPr>
              <w:t>Rozvoj funkcionalit a služeb integrovaného datového rozhraní, včetně posilování HW a SW infrastruktury, bezpečnostní SW a HW</w:t>
            </w:r>
          </w:p>
        </w:tc>
        <w:tc>
          <w:tcPr>
            <w:tcW w:w="1134" w:type="dxa"/>
          </w:tcPr>
          <w:p w:rsidR="00514ECA" w:rsidRPr="00B677A8" w:rsidP="00B803CB" w14:paraId="537C29DA" w14:textId="2156C5E9">
            <w:pPr>
              <w:jc w:val="both"/>
              <w:rPr>
                <w:rFonts w:asciiTheme="minorHAnsi" w:hAnsiTheme="minorHAnsi" w:cstheme="minorHAnsi"/>
                <w:bCs/>
                <w:sz w:val="22"/>
                <w:szCs w:val="22"/>
              </w:rPr>
            </w:pPr>
            <w:r w:rsidRPr="00B677A8">
              <w:rPr>
                <w:rFonts w:asciiTheme="minorHAnsi" w:hAnsiTheme="minorHAnsi" w:cstheme="minorHAnsi"/>
                <w:bCs/>
                <w:sz w:val="22"/>
                <w:szCs w:val="22"/>
              </w:rPr>
              <w:t>2020-2030</w:t>
            </w:r>
          </w:p>
        </w:tc>
        <w:tc>
          <w:tcPr>
            <w:tcW w:w="851" w:type="dxa"/>
          </w:tcPr>
          <w:p w:rsidR="00514ECA" w:rsidRPr="00B677A8" w:rsidP="00B803CB" w14:paraId="29C2D24E" w14:textId="25800381">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562D4E">
              <w:rPr>
                <w:rFonts w:asciiTheme="minorHAnsi" w:hAnsiTheme="minorHAnsi" w:cstheme="minorHAnsi"/>
                <w:bCs/>
                <w:sz w:val="22"/>
                <w:szCs w:val="22"/>
              </w:rPr>
              <w:t>/NCEZ</w:t>
            </w:r>
            <w:r w:rsidRPr="00B677A8">
              <w:rPr>
                <w:rFonts w:asciiTheme="minorHAnsi" w:hAnsiTheme="minorHAnsi" w:cstheme="minorHAnsi"/>
                <w:bCs/>
                <w:sz w:val="22"/>
                <w:szCs w:val="22"/>
              </w:rPr>
              <w:t>)</w:t>
            </w:r>
          </w:p>
          <w:p w:rsidR="003D29CA" w:rsidRPr="00B677A8" w:rsidP="00B803CB" w14:paraId="5D5E6696" w14:textId="66F35FA7">
            <w:pPr>
              <w:jc w:val="both"/>
              <w:rPr>
                <w:rFonts w:asciiTheme="minorHAnsi" w:hAnsiTheme="minorHAnsi" w:cstheme="minorHAnsi"/>
                <w:bCs/>
                <w:sz w:val="22"/>
                <w:szCs w:val="22"/>
              </w:rPr>
            </w:pPr>
            <w:r w:rsidRPr="00B677A8">
              <w:rPr>
                <w:rFonts w:asciiTheme="minorHAnsi" w:hAnsiTheme="minorHAnsi" w:cstheme="minorHAnsi"/>
                <w:bCs/>
                <w:sz w:val="22"/>
                <w:szCs w:val="22"/>
              </w:rPr>
              <w:t>ÚZIS</w:t>
            </w:r>
          </w:p>
        </w:tc>
        <w:tc>
          <w:tcPr>
            <w:tcW w:w="1417" w:type="dxa"/>
          </w:tcPr>
          <w:p w:rsidR="00514ECA" w:rsidRPr="00B677A8" w:rsidP="00B803CB" w14:paraId="099272E5" w14:textId="192F7D2C">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DIA, </w:t>
            </w:r>
            <w:r w:rsidRPr="00B677A8">
              <w:rPr>
                <w:rFonts w:asciiTheme="minorHAnsi" w:hAnsiTheme="minorHAnsi" w:cstheme="minorHAnsi"/>
                <w:bCs/>
                <w:sz w:val="22"/>
                <w:szCs w:val="22"/>
              </w:rPr>
              <w:t xml:space="preserve">MV,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(SZ, SL, SE)</w:t>
            </w:r>
          </w:p>
        </w:tc>
        <w:tc>
          <w:tcPr>
            <w:tcW w:w="2977" w:type="dxa"/>
          </w:tcPr>
          <w:p w:rsidR="00514ECA" w:rsidRPr="00B677A8" w:rsidP="00B803CB" w14:paraId="524E6BF8" w14:textId="223C070A">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Plněno průběžně prostřednictvím </w:t>
            </w:r>
            <w:r w:rsidRPr="00B677A8" w:rsidR="00E920E8">
              <w:rPr>
                <w:rFonts w:asciiTheme="minorHAnsi" w:hAnsiTheme="minorHAnsi" w:cstheme="minorHAnsi"/>
                <w:bCs/>
                <w:sz w:val="22"/>
                <w:szCs w:val="22"/>
              </w:rPr>
              <w:t>Projektů podpory digitálních služeb</w:t>
            </w:r>
            <w:r w:rsidRPr="00B677A8">
              <w:rPr>
                <w:rFonts w:asciiTheme="minorHAnsi" w:hAnsiTheme="minorHAnsi" w:cstheme="minorHAnsi"/>
                <w:bCs/>
                <w:sz w:val="22"/>
                <w:szCs w:val="22"/>
              </w:rPr>
              <w:t xml:space="preserve"> </w:t>
            </w:r>
            <w:r w:rsidRPr="00B677A8" w:rsidR="00CF7A32">
              <w:rPr>
                <w:rFonts w:asciiTheme="minorHAnsi" w:hAnsiTheme="minorHAnsi" w:cstheme="minorHAnsi"/>
                <w:bCs/>
                <w:sz w:val="22"/>
                <w:szCs w:val="22"/>
              </w:rPr>
              <w:t>NPO</w:t>
            </w:r>
            <w:r w:rsidRPr="00B677A8" w:rsidR="0054772B">
              <w:rPr>
                <w:rFonts w:asciiTheme="minorHAnsi" w:hAnsiTheme="minorHAnsi" w:cstheme="minorHAnsi"/>
                <w:bCs/>
                <w:sz w:val="22"/>
                <w:szCs w:val="22"/>
              </w:rPr>
              <w:t xml:space="preserve"> </w:t>
            </w:r>
          </w:p>
        </w:tc>
        <w:tc>
          <w:tcPr>
            <w:tcW w:w="3260" w:type="dxa"/>
          </w:tcPr>
          <w:p w:rsidR="00514ECA" w:rsidRPr="00B677A8" w:rsidP="00B803CB" w14:paraId="16F1A4B5" w14:textId="3445D82B">
            <w:pPr>
              <w:jc w:val="both"/>
              <w:rPr>
                <w:rFonts w:asciiTheme="minorHAnsi" w:hAnsiTheme="minorHAnsi" w:cstheme="minorHAnsi"/>
                <w:bCs/>
                <w:sz w:val="22"/>
                <w:szCs w:val="22"/>
              </w:rPr>
            </w:pPr>
            <w:r w:rsidRPr="00B677A8">
              <w:rPr>
                <w:rFonts w:asciiTheme="minorHAnsi" w:hAnsiTheme="minorHAnsi" w:cstheme="minorHAnsi"/>
                <w:bCs/>
                <w:sz w:val="22"/>
                <w:szCs w:val="22"/>
              </w:rPr>
              <w:t>Do roku 2035 zajistit udržitelnost a další rozvoj</w:t>
            </w:r>
            <w:r w:rsidRPr="00B677A8" w:rsidR="004C54B0">
              <w:rPr>
                <w:rFonts w:asciiTheme="minorHAnsi" w:hAnsiTheme="minorHAnsi" w:cstheme="minorHAnsi"/>
                <w:bCs/>
                <w:sz w:val="22"/>
                <w:szCs w:val="22"/>
              </w:rPr>
              <w:t>.</w:t>
            </w:r>
          </w:p>
        </w:tc>
      </w:tr>
      <w:tr w14:paraId="61A3F104" w14:textId="4F486701" w:rsidTr="00F53A99">
        <w:tblPrEx>
          <w:tblW w:w="15451" w:type="dxa"/>
          <w:tblInd w:w="-147" w:type="dxa"/>
          <w:tblLayout w:type="fixed"/>
          <w:tblCellMar>
            <w:left w:w="70" w:type="dxa"/>
            <w:right w:w="70" w:type="dxa"/>
          </w:tblCellMar>
          <w:tblLook w:val="0000"/>
        </w:tblPrEx>
        <w:trPr>
          <w:trHeight w:val="835"/>
        </w:trPr>
        <w:tc>
          <w:tcPr>
            <w:tcW w:w="1560" w:type="dxa"/>
            <w:vMerge w:val="restart"/>
          </w:tcPr>
          <w:p w:rsidR="00514ECA" w:rsidRPr="00B677A8" w:rsidP="00B803CB" w14:paraId="1F206432" w14:textId="77777777">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2.3.4</w:t>
            </w:r>
          </w:p>
          <w:p w:rsidR="00514ECA" w:rsidRPr="00B677A8" w:rsidP="00B803CB" w14:paraId="71579176" w14:textId="2109E70A">
            <w:pPr>
              <w:ind w:left="-38"/>
              <w:jc w:val="both"/>
              <w:rPr>
                <w:rFonts w:asciiTheme="minorHAnsi" w:hAnsiTheme="minorHAnsi" w:cstheme="minorHAnsi"/>
                <w:bCs/>
                <w:sz w:val="22"/>
                <w:szCs w:val="22"/>
              </w:rPr>
            </w:pPr>
            <w:r w:rsidRPr="00B677A8">
              <w:rPr>
                <w:rFonts w:asciiTheme="minorHAnsi" w:hAnsiTheme="minorHAnsi" w:cstheme="minorHAnsi"/>
                <w:bCs/>
                <w:sz w:val="22"/>
                <w:szCs w:val="22"/>
              </w:rPr>
              <w:t>Rozvoj Národního zdravotnického informačního systému (NZIS)</w:t>
            </w:r>
          </w:p>
        </w:tc>
        <w:tc>
          <w:tcPr>
            <w:tcW w:w="1984" w:type="dxa"/>
          </w:tcPr>
          <w:p w:rsidR="00514ECA" w:rsidRPr="00B677A8" w:rsidP="00B803CB" w14:paraId="6CDDE84C" w14:textId="77777777">
            <w:pPr>
              <w:jc w:val="both"/>
              <w:rPr>
                <w:rFonts w:asciiTheme="minorHAnsi" w:hAnsiTheme="minorHAnsi" w:cstheme="minorHAnsi"/>
                <w:bCs/>
                <w:sz w:val="22"/>
                <w:szCs w:val="22"/>
              </w:rPr>
            </w:pPr>
          </w:p>
        </w:tc>
        <w:tc>
          <w:tcPr>
            <w:tcW w:w="2268" w:type="dxa"/>
          </w:tcPr>
          <w:p w:rsidR="00514ECA" w:rsidRPr="00B677A8" w:rsidP="00B803CB" w14:paraId="47744717" w14:textId="090701D4">
            <w:pPr>
              <w:jc w:val="both"/>
              <w:rPr>
                <w:rFonts w:asciiTheme="minorHAnsi" w:hAnsiTheme="minorHAnsi" w:cstheme="minorHAnsi"/>
                <w:bCs/>
                <w:sz w:val="22"/>
                <w:szCs w:val="22"/>
              </w:rPr>
            </w:pPr>
            <w:r w:rsidRPr="00B677A8">
              <w:rPr>
                <w:rFonts w:asciiTheme="minorHAnsi" w:hAnsiTheme="minorHAnsi" w:cstheme="minorHAnsi"/>
                <w:bCs/>
                <w:sz w:val="22"/>
                <w:szCs w:val="22"/>
              </w:rPr>
              <w:t>Rozšíření NZIS o další funkcionality a moduly</w:t>
            </w:r>
          </w:p>
        </w:tc>
        <w:tc>
          <w:tcPr>
            <w:tcW w:w="1134" w:type="dxa"/>
          </w:tcPr>
          <w:p w:rsidR="00514ECA" w:rsidRPr="00B677A8" w:rsidP="00B803CB" w14:paraId="45FF7847"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2020-2030</w:t>
            </w:r>
          </w:p>
        </w:tc>
        <w:tc>
          <w:tcPr>
            <w:tcW w:w="851" w:type="dxa"/>
          </w:tcPr>
          <w:p w:rsidR="00514ECA" w:rsidRPr="00B677A8" w:rsidP="00B803CB" w14:paraId="74B6133B" w14:textId="7B3F0736">
            <w:pPr>
              <w:jc w:val="both"/>
              <w:rPr>
                <w:rFonts w:asciiTheme="minorHAnsi" w:hAnsiTheme="minorHAnsi" w:cstheme="minorHAnsi"/>
                <w:bCs/>
                <w:sz w:val="22"/>
                <w:szCs w:val="22"/>
              </w:rPr>
            </w:pPr>
            <w:r w:rsidRPr="00B677A8">
              <w:rPr>
                <w:rFonts w:asciiTheme="minorHAnsi" w:hAnsiTheme="minorHAnsi" w:cstheme="minorHAnsi"/>
                <w:bCs/>
                <w:sz w:val="22"/>
                <w:szCs w:val="22"/>
              </w:rPr>
              <w:t>ÚZIS ČR</w:t>
            </w:r>
          </w:p>
        </w:tc>
        <w:tc>
          <w:tcPr>
            <w:tcW w:w="1417" w:type="dxa"/>
          </w:tcPr>
          <w:p w:rsidR="00514ECA" w:rsidRPr="00B677A8" w:rsidP="00B803CB" w14:paraId="080CBDAA" w14:textId="68CBEDE8">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 SZ) </w:t>
            </w:r>
          </w:p>
        </w:tc>
        <w:tc>
          <w:tcPr>
            <w:tcW w:w="2977" w:type="dxa"/>
          </w:tcPr>
          <w:p w:rsidR="00514ECA" w:rsidRPr="00B677A8" w:rsidP="00B803CB" w14:paraId="502A191C" w14:textId="23A34C1C">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Plněno prostřednictvím projektu </w:t>
            </w:r>
            <w:r w:rsidRPr="00B677A8" w:rsidR="00C27232">
              <w:rPr>
                <w:rFonts w:asciiTheme="minorHAnsi" w:hAnsiTheme="minorHAnsi" w:cstheme="minorHAnsi"/>
                <w:bCs/>
                <w:sz w:val="22"/>
                <w:szCs w:val="22"/>
              </w:rPr>
              <w:t>Rozvoje platformy registrů NZIS z</w:t>
            </w:r>
            <w:r w:rsidRPr="00B677A8" w:rsidR="00CD1EB0">
              <w:rPr>
                <w:rFonts w:asciiTheme="minorHAnsi" w:hAnsiTheme="minorHAnsi" w:cstheme="minorHAnsi"/>
                <w:bCs/>
                <w:sz w:val="22"/>
                <w:szCs w:val="22"/>
              </w:rPr>
              <w:t> </w:t>
            </w:r>
            <w:r w:rsidRPr="00B677A8">
              <w:rPr>
                <w:rFonts w:asciiTheme="minorHAnsi" w:hAnsiTheme="minorHAnsi" w:cstheme="minorHAnsi"/>
                <w:bCs/>
                <w:sz w:val="22"/>
                <w:szCs w:val="22"/>
              </w:rPr>
              <w:t>NPO</w:t>
            </w:r>
          </w:p>
          <w:p w:rsidR="00CD1EB0" w:rsidRPr="00B677A8" w:rsidP="00B803CB" w14:paraId="6BD4E6B7" w14:textId="7397D10E">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Dle požadavků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a odborných společností jsou doplňovány nové moduly do existujících registrů (např. NRKI), vytvářeny nové registry (eVakcinace, ARI-ILI) a na základě data linkage odvozovány nové registry, popřípadě doplňovány do existujících nové informace (registr úrazů, onkologická léčba v NOR aj.). Současně jsou prováděny i přísl. legislativní úpravy NZIS.</w:t>
            </w:r>
          </w:p>
        </w:tc>
        <w:tc>
          <w:tcPr>
            <w:tcW w:w="3260" w:type="dxa"/>
          </w:tcPr>
          <w:p w:rsidR="00514ECA" w:rsidRPr="00B677A8" w:rsidP="00B803CB" w14:paraId="27A4747F" w14:textId="5ED8E799">
            <w:pPr>
              <w:jc w:val="both"/>
              <w:rPr>
                <w:rFonts w:asciiTheme="minorHAnsi" w:hAnsiTheme="minorHAnsi" w:cstheme="minorHAnsi"/>
                <w:bCs/>
                <w:sz w:val="22"/>
                <w:szCs w:val="22"/>
              </w:rPr>
            </w:pPr>
            <w:r w:rsidRPr="00B677A8">
              <w:rPr>
                <w:rFonts w:asciiTheme="minorHAnsi" w:hAnsiTheme="minorHAnsi" w:cstheme="minorHAnsi"/>
                <w:bCs/>
                <w:sz w:val="22"/>
                <w:szCs w:val="22"/>
              </w:rPr>
              <w:t>Do roku 2035 zajistit udržitelnost a další rozvoj.</w:t>
            </w:r>
          </w:p>
        </w:tc>
      </w:tr>
      <w:tr w14:paraId="52B03E81" w14:textId="6B15EB86"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5FC53B79" w14:textId="77777777">
            <w:pPr>
              <w:ind w:left="-38"/>
              <w:jc w:val="both"/>
              <w:rPr>
                <w:rFonts w:asciiTheme="minorHAnsi" w:hAnsiTheme="minorHAnsi" w:cstheme="minorHAnsi"/>
                <w:bCs/>
                <w:sz w:val="22"/>
                <w:szCs w:val="22"/>
              </w:rPr>
            </w:pPr>
          </w:p>
        </w:tc>
        <w:tc>
          <w:tcPr>
            <w:tcW w:w="1984" w:type="dxa"/>
          </w:tcPr>
          <w:p w:rsidR="00514ECA" w:rsidRPr="00B677A8" w:rsidP="00B803CB" w14:paraId="76D29097" w14:textId="77777777">
            <w:pPr>
              <w:jc w:val="both"/>
              <w:rPr>
                <w:rFonts w:asciiTheme="minorHAnsi" w:hAnsiTheme="minorHAnsi" w:cstheme="minorHAnsi"/>
                <w:bCs/>
                <w:sz w:val="22"/>
                <w:szCs w:val="22"/>
              </w:rPr>
            </w:pPr>
          </w:p>
        </w:tc>
        <w:tc>
          <w:tcPr>
            <w:tcW w:w="2268" w:type="dxa"/>
          </w:tcPr>
          <w:p w:rsidR="00514ECA" w:rsidRPr="00B677A8" w:rsidP="00B803CB" w14:paraId="2C876CF8" w14:textId="1825A25D">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Rozšíření a posílení HW a SW infrastruktury </w:t>
            </w:r>
            <w:r w:rsidRPr="00B677A8">
              <w:rPr>
                <w:rFonts w:asciiTheme="minorHAnsi" w:hAnsiTheme="minorHAnsi" w:cstheme="minorHAnsi"/>
                <w:bCs/>
                <w:sz w:val="22"/>
                <w:szCs w:val="22"/>
              </w:rPr>
              <w:t>NZIS a resortních registrů</w:t>
            </w:r>
          </w:p>
        </w:tc>
        <w:tc>
          <w:tcPr>
            <w:tcW w:w="1134" w:type="dxa"/>
          </w:tcPr>
          <w:p w:rsidR="00514ECA" w:rsidRPr="00B677A8" w:rsidP="00B803CB" w14:paraId="1692F906" w14:textId="30EE9EE0">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3F0EAF">
              <w:rPr>
                <w:rFonts w:asciiTheme="minorHAnsi" w:hAnsiTheme="minorHAnsi" w:cstheme="minorHAnsi"/>
                <w:bCs/>
                <w:sz w:val="22"/>
                <w:szCs w:val="22"/>
              </w:rPr>
              <w:t>5</w:t>
            </w:r>
          </w:p>
        </w:tc>
        <w:tc>
          <w:tcPr>
            <w:tcW w:w="851" w:type="dxa"/>
          </w:tcPr>
          <w:p w:rsidR="00514ECA" w:rsidRPr="00B677A8" w:rsidP="00B803CB" w14:paraId="1F681819" w14:textId="559888AF">
            <w:pPr>
              <w:jc w:val="both"/>
              <w:rPr>
                <w:rFonts w:asciiTheme="minorHAnsi" w:hAnsiTheme="minorHAnsi" w:cstheme="minorHAnsi"/>
                <w:bCs/>
                <w:sz w:val="22"/>
                <w:szCs w:val="22"/>
              </w:rPr>
            </w:pPr>
            <w:r w:rsidRPr="00B677A8">
              <w:rPr>
                <w:rFonts w:asciiTheme="minorHAnsi" w:hAnsiTheme="minorHAnsi" w:cstheme="minorHAnsi"/>
                <w:bCs/>
                <w:sz w:val="22"/>
                <w:szCs w:val="22"/>
              </w:rPr>
              <w:t>ÚZIS ČR</w:t>
            </w:r>
          </w:p>
        </w:tc>
        <w:tc>
          <w:tcPr>
            <w:tcW w:w="1417" w:type="dxa"/>
          </w:tcPr>
          <w:p w:rsidR="00514ECA" w:rsidRPr="00B677A8" w:rsidP="00B803CB" w14:paraId="77714468" w14:textId="53F54AB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 SZ)</w:t>
            </w:r>
          </w:p>
        </w:tc>
        <w:tc>
          <w:tcPr>
            <w:tcW w:w="2977" w:type="dxa"/>
          </w:tcPr>
          <w:p w:rsidR="00514ECA" w:rsidRPr="00B677A8" w:rsidP="00B803CB" w14:paraId="125BC056" w14:textId="0E0E058F">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Plněno prostřednictvím </w:t>
            </w:r>
            <w:r w:rsidRPr="00B677A8" w:rsidR="00DE3615">
              <w:rPr>
                <w:rFonts w:asciiTheme="minorHAnsi" w:hAnsiTheme="minorHAnsi" w:cstheme="minorHAnsi"/>
                <w:bCs/>
                <w:sz w:val="22"/>
                <w:szCs w:val="22"/>
              </w:rPr>
              <w:t>P</w:t>
            </w:r>
            <w:r w:rsidRPr="00B677A8">
              <w:rPr>
                <w:rFonts w:asciiTheme="minorHAnsi" w:hAnsiTheme="minorHAnsi" w:cstheme="minorHAnsi"/>
                <w:bCs/>
                <w:sz w:val="22"/>
                <w:szCs w:val="22"/>
              </w:rPr>
              <w:t>rojekt</w:t>
            </w:r>
            <w:r w:rsidRPr="00B677A8" w:rsidR="00C27232">
              <w:rPr>
                <w:rFonts w:asciiTheme="minorHAnsi" w:hAnsiTheme="minorHAnsi" w:cstheme="minorHAnsi"/>
                <w:bCs/>
                <w:sz w:val="22"/>
                <w:szCs w:val="22"/>
              </w:rPr>
              <w:t>u</w:t>
            </w:r>
            <w:r w:rsidRPr="00B677A8" w:rsidR="00E920E8">
              <w:rPr>
                <w:rFonts w:asciiTheme="minorHAnsi" w:hAnsiTheme="minorHAnsi" w:cstheme="minorHAnsi"/>
                <w:bCs/>
                <w:sz w:val="22"/>
                <w:szCs w:val="22"/>
              </w:rPr>
              <w:t xml:space="preserve"> </w:t>
            </w:r>
            <w:r w:rsidRPr="00B677A8" w:rsidR="00C27232">
              <w:rPr>
                <w:rFonts w:asciiTheme="minorHAnsi" w:hAnsiTheme="minorHAnsi" w:cstheme="minorHAnsi"/>
                <w:bCs/>
                <w:sz w:val="22"/>
                <w:szCs w:val="22"/>
              </w:rPr>
              <w:t>r</w:t>
            </w:r>
            <w:r w:rsidRPr="00B677A8" w:rsidR="00E920E8">
              <w:rPr>
                <w:rFonts w:asciiTheme="minorHAnsi" w:hAnsiTheme="minorHAnsi" w:cstheme="minorHAnsi"/>
                <w:bCs/>
                <w:sz w:val="22"/>
                <w:szCs w:val="22"/>
              </w:rPr>
              <w:t>ozvoje infrastruktury</w:t>
            </w:r>
            <w:r w:rsidRPr="00B677A8">
              <w:rPr>
                <w:rFonts w:asciiTheme="minorHAnsi" w:hAnsiTheme="minorHAnsi" w:cstheme="minorHAnsi"/>
                <w:bCs/>
                <w:sz w:val="22"/>
                <w:szCs w:val="22"/>
              </w:rPr>
              <w:t xml:space="preserve"> NPO</w:t>
            </w:r>
            <w:r w:rsidRPr="00B677A8" w:rsidR="00FB0AFA">
              <w:rPr>
                <w:rFonts w:asciiTheme="minorHAnsi" w:hAnsiTheme="minorHAnsi" w:cstheme="minorHAnsi"/>
                <w:bCs/>
                <w:sz w:val="22"/>
                <w:szCs w:val="22"/>
              </w:rPr>
              <w:t xml:space="preserve">. </w:t>
            </w:r>
          </w:p>
          <w:p w:rsidR="00FB0AFA" w:rsidRPr="00B677A8" w:rsidP="00B803CB" w14:paraId="4F5A3501" w14:textId="5827EAD5">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Dle požadavků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a potřeb ÚZIS ČR je v rámci NPO po</w:t>
            </w:r>
            <w:r w:rsidRPr="00B677A8" w:rsidR="00D67E9F">
              <w:rPr>
                <w:rFonts w:asciiTheme="minorHAnsi" w:hAnsiTheme="minorHAnsi" w:cstheme="minorHAnsi"/>
                <w:bCs/>
                <w:sz w:val="22"/>
                <w:szCs w:val="22"/>
              </w:rPr>
              <w:t>ř</w:t>
            </w:r>
            <w:r w:rsidRPr="00B677A8">
              <w:rPr>
                <w:rFonts w:asciiTheme="minorHAnsi" w:hAnsiTheme="minorHAnsi" w:cstheme="minorHAnsi"/>
                <w:bCs/>
                <w:sz w:val="22"/>
                <w:szCs w:val="22"/>
              </w:rPr>
              <w:t xml:space="preserve">izována HW a SW infrastruktura pro provoz komponent elektronického </w:t>
            </w:r>
            <w:r w:rsidRPr="00B677A8" w:rsidR="00AE0CDD">
              <w:rPr>
                <w:rFonts w:asciiTheme="minorHAnsi" w:hAnsiTheme="minorHAnsi" w:cstheme="minorHAnsi"/>
                <w:bCs/>
                <w:sz w:val="22"/>
                <w:szCs w:val="22"/>
              </w:rPr>
              <w:t>zdravotnictví</w:t>
            </w:r>
            <w:r w:rsidRPr="00B677A8">
              <w:rPr>
                <w:rFonts w:asciiTheme="minorHAnsi" w:hAnsiTheme="minorHAnsi" w:cstheme="minorHAnsi"/>
                <w:bCs/>
                <w:sz w:val="22"/>
                <w:szCs w:val="22"/>
              </w:rPr>
              <w:t xml:space="preserve"> a resortních IS, včetně NZIS.</w:t>
            </w:r>
          </w:p>
        </w:tc>
        <w:tc>
          <w:tcPr>
            <w:tcW w:w="3260" w:type="dxa"/>
          </w:tcPr>
          <w:p w:rsidR="00514ECA" w:rsidRPr="00B677A8" w:rsidP="00B803CB" w14:paraId="42F96725" w14:textId="27411B8C">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Po roce 2026 </w:t>
            </w:r>
            <w:r w:rsidRPr="00B677A8" w:rsidR="000F2368">
              <w:rPr>
                <w:rFonts w:asciiTheme="minorHAnsi" w:hAnsiTheme="minorHAnsi" w:cstheme="minorHAnsi"/>
                <w:bCs/>
                <w:sz w:val="22"/>
                <w:szCs w:val="22"/>
              </w:rPr>
              <w:t>zajistit udržitelnost a rozvoj d</w:t>
            </w:r>
            <w:r w:rsidRPr="00B677A8" w:rsidR="00681132">
              <w:rPr>
                <w:rFonts w:asciiTheme="minorHAnsi" w:hAnsiTheme="minorHAnsi" w:cstheme="minorHAnsi"/>
                <w:bCs/>
                <w:sz w:val="22"/>
                <w:szCs w:val="22"/>
              </w:rPr>
              <w:t>o roku 2035j.</w:t>
            </w:r>
          </w:p>
        </w:tc>
      </w:tr>
      <w:tr w14:paraId="0FFA112E" w14:textId="74F6CCD5"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41E9B0F0" w14:textId="77777777">
            <w:pPr>
              <w:ind w:left="-38"/>
              <w:jc w:val="both"/>
              <w:rPr>
                <w:rFonts w:asciiTheme="minorHAnsi" w:hAnsiTheme="minorHAnsi" w:cstheme="minorHAnsi"/>
                <w:bCs/>
                <w:sz w:val="22"/>
                <w:szCs w:val="22"/>
              </w:rPr>
            </w:pPr>
          </w:p>
        </w:tc>
        <w:tc>
          <w:tcPr>
            <w:tcW w:w="1984" w:type="dxa"/>
          </w:tcPr>
          <w:p w:rsidR="00514ECA" w:rsidRPr="00B677A8" w:rsidP="00B803CB" w14:paraId="6E871545" w14:textId="77777777">
            <w:pPr>
              <w:jc w:val="both"/>
              <w:rPr>
                <w:rFonts w:asciiTheme="minorHAnsi" w:hAnsiTheme="minorHAnsi" w:cstheme="minorHAnsi"/>
                <w:bCs/>
                <w:sz w:val="22"/>
                <w:szCs w:val="22"/>
              </w:rPr>
            </w:pPr>
          </w:p>
        </w:tc>
        <w:tc>
          <w:tcPr>
            <w:tcW w:w="2268" w:type="dxa"/>
          </w:tcPr>
          <w:p w:rsidR="00514ECA" w:rsidRPr="00B677A8" w:rsidP="00B803CB" w14:paraId="3D35ADFF" w14:textId="0701E3A6">
            <w:pPr>
              <w:jc w:val="both"/>
              <w:rPr>
                <w:rFonts w:asciiTheme="minorHAnsi" w:hAnsiTheme="minorHAnsi" w:cstheme="minorHAnsi"/>
                <w:bCs/>
                <w:sz w:val="22"/>
                <w:szCs w:val="22"/>
              </w:rPr>
            </w:pPr>
            <w:r w:rsidRPr="00B677A8">
              <w:rPr>
                <w:rFonts w:asciiTheme="minorHAnsi" w:hAnsiTheme="minorHAnsi" w:cstheme="minorHAnsi"/>
                <w:bCs/>
                <w:sz w:val="22"/>
                <w:szCs w:val="22"/>
              </w:rPr>
              <w:t>Periodická publikace analytických výstupů z NZIS v elektronické formě</w:t>
            </w:r>
          </w:p>
        </w:tc>
        <w:tc>
          <w:tcPr>
            <w:tcW w:w="1134" w:type="dxa"/>
          </w:tcPr>
          <w:p w:rsidR="00514ECA" w:rsidRPr="00B677A8" w:rsidP="00B803CB" w14:paraId="72AB06AF" w14:textId="5C02965E">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4D115C">
              <w:rPr>
                <w:rFonts w:asciiTheme="minorHAnsi" w:hAnsiTheme="minorHAnsi" w:cstheme="minorHAnsi"/>
                <w:bCs/>
                <w:sz w:val="22"/>
                <w:szCs w:val="22"/>
              </w:rPr>
              <w:t>5</w:t>
            </w:r>
          </w:p>
        </w:tc>
        <w:tc>
          <w:tcPr>
            <w:tcW w:w="851" w:type="dxa"/>
          </w:tcPr>
          <w:p w:rsidR="00514ECA" w:rsidRPr="00B677A8" w:rsidP="00B803CB" w14:paraId="262C6A40" w14:textId="130A7FF8">
            <w:pPr>
              <w:jc w:val="both"/>
              <w:rPr>
                <w:rFonts w:asciiTheme="minorHAnsi" w:hAnsiTheme="minorHAnsi" w:cstheme="minorHAnsi"/>
                <w:bCs/>
                <w:sz w:val="22"/>
                <w:szCs w:val="22"/>
              </w:rPr>
            </w:pPr>
            <w:r w:rsidRPr="00B677A8">
              <w:rPr>
                <w:rFonts w:asciiTheme="minorHAnsi" w:hAnsiTheme="minorHAnsi" w:cstheme="minorHAnsi"/>
                <w:bCs/>
                <w:sz w:val="22"/>
                <w:szCs w:val="22"/>
              </w:rPr>
              <w:t>ÚZIS ČR</w:t>
            </w:r>
          </w:p>
        </w:tc>
        <w:tc>
          <w:tcPr>
            <w:tcW w:w="1417" w:type="dxa"/>
          </w:tcPr>
          <w:p w:rsidR="00514ECA" w:rsidRPr="00B677A8" w:rsidP="00B803CB" w14:paraId="10F4EAB3" w14:textId="63B28C6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 SZ), přímo řízené organizace, poskytovatelé zdravotní</w:t>
            </w:r>
            <w:r w:rsidRPr="00B677A8" w:rsidR="004D115C">
              <w:rPr>
                <w:rFonts w:asciiTheme="minorHAnsi" w:hAnsiTheme="minorHAnsi" w:cstheme="minorHAnsi"/>
                <w:bCs/>
                <w:sz w:val="22"/>
                <w:szCs w:val="22"/>
              </w:rPr>
              <w:t>ch služeb</w:t>
            </w:r>
            <w:r w:rsidRPr="00B677A8">
              <w:rPr>
                <w:rFonts w:asciiTheme="minorHAnsi" w:hAnsiTheme="minorHAnsi" w:cstheme="minorHAnsi"/>
                <w:bCs/>
                <w:sz w:val="22"/>
                <w:szCs w:val="22"/>
              </w:rPr>
              <w:t xml:space="preserve">, </w:t>
            </w:r>
            <w:r w:rsidRPr="00B677A8" w:rsidR="004D115C">
              <w:rPr>
                <w:rFonts w:asciiTheme="minorHAnsi" w:hAnsiTheme="minorHAnsi" w:cstheme="minorHAnsi"/>
                <w:bCs/>
                <w:sz w:val="22"/>
                <w:szCs w:val="22"/>
              </w:rPr>
              <w:t xml:space="preserve">zdravotní </w:t>
            </w:r>
            <w:r w:rsidRPr="00B677A8">
              <w:rPr>
                <w:rFonts w:asciiTheme="minorHAnsi" w:hAnsiTheme="minorHAnsi" w:cstheme="minorHAnsi"/>
                <w:bCs/>
                <w:sz w:val="22"/>
                <w:szCs w:val="22"/>
              </w:rPr>
              <w:t xml:space="preserve">pojišťovny, odborné společnosti </w:t>
            </w:r>
          </w:p>
        </w:tc>
        <w:tc>
          <w:tcPr>
            <w:tcW w:w="2977" w:type="dxa"/>
          </w:tcPr>
          <w:p w:rsidR="00514ECA" w:rsidRPr="00B677A8" w:rsidP="00B803CB" w14:paraId="214D69B6"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Plněno průběžně.</w:t>
            </w:r>
          </w:p>
          <w:p w:rsidR="00514ECA" w:rsidRPr="00B677A8" w:rsidP="00B803CB" w14:paraId="533C5F5F" w14:textId="63928414">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 První výstupy v podobě otevřených datových sad jsou publikovány na stránkách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v katalogu otevřených dat.</w:t>
            </w:r>
          </w:p>
          <w:p w:rsidR="00D67E9F" w:rsidRPr="00B677A8" w:rsidP="00B803CB" w14:paraId="1EDC9984" w14:textId="473235A5">
            <w:pPr>
              <w:jc w:val="both"/>
              <w:rPr>
                <w:rFonts w:asciiTheme="minorHAnsi" w:hAnsiTheme="minorHAnsi" w:cstheme="minorHAnsi"/>
                <w:bCs/>
                <w:sz w:val="22"/>
                <w:szCs w:val="22"/>
              </w:rPr>
            </w:pPr>
            <w:r w:rsidRPr="00B677A8">
              <w:rPr>
                <w:rFonts w:asciiTheme="minorHAnsi" w:hAnsiTheme="minorHAnsi" w:cstheme="minorHAnsi"/>
                <w:bCs/>
                <w:sz w:val="22"/>
                <w:szCs w:val="22"/>
              </w:rPr>
              <w:t>V současnosti je většina výstupů NZIS v souvislosti s koncepcí otevírání dat převáděna do formy otevřených dat, datových souhrnů, přístupu k syntetickým datům a ve vybraných případech cílených analytických reportů (např podklady NOP, NKP atd.)</w:t>
            </w:r>
          </w:p>
        </w:tc>
        <w:tc>
          <w:tcPr>
            <w:tcW w:w="3260" w:type="dxa"/>
          </w:tcPr>
          <w:p w:rsidR="00514ECA" w:rsidRPr="00B677A8" w:rsidP="00B803CB" w14:paraId="3B1CF1C7" w14:textId="0C821FBF">
            <w:pPr>
              <w:jc w:val="both"/>
              <w:rPr>
                <w:rFonts w:asciiTheme="minorHAnsi" w:hAnsiTheme="minorHAnsi" w:cstheme="minorHAnsi"/>
                <w:bCs/>
                <w:sz w:val="22"/>
                <w:szCs w:val="22"/>
              </w:rPr>
            </w:pPr>
            <w:r w:rsidRPr="00B677A8">
              <w:rPr>
                <w:rFonts w:asciiTheme="minorHAnsi" w:hAnsiTheme="minorHAnsi" w:cstheme="minorHAnsi"/>
                <w:bCs/>
                <w:sz w:val="22"/>
                <w:szCs w:val="22"/>
              </w:rPr>
              <w:t>Do roku 2035 zajistit udržitelnost a další rozvoj.</w:t>
            </w:r>
            <w:r w:rsidRPr="00B677A8" w:rsidR="00A277E6">
              <w:rPr>
                <w:rFonts w:asciiTheme="minorHAnsi" w:hAnsiTheme="minorHAnsi" w:cstheme="minorHAnsi"/>
                <w:bCs/>
                <w:sz w:val="22"/>
                <w:szCs w:val="22"/>
              </w:rPr>
              <w:t xml:space="preserve"> Postupovat podle Koncepce sdílení a sekundárního vytěžování dat NZIS</w:t>
            </w:r>
          </w:p>
        </w:tc>
      </w:tr>
      <w:tr w14:paraId="30AEA906" w14:textId="6074366F"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7479E0F1" w14:textId="77777777">
            <w:pPr>
              <w:ind w:left="-38"/>
              <w:jc w:val="both"/>
              <w:rPr>
                <w:rFonts w:asciiTheme="minorHAnsi" w:hAnsiTheme="minorHAnsi" w:cstheme="minorHAnsi"/>
                <w:bCs/>
                <w:sz w:val="22"/>
                <w:szCs w:val="22"/>
              </w:rPr>
            </w:pPr>
          </w:p>
        </w:tc>
        <w:tc>
          <w:tcPr>
            <w:tcW w:w="1984" w:type="dxa"/>
          </w:tcPr>
          <w:p w:rsidR="00514ECA" w:rsidRPr="00B677A8" w:rsidP="00B803CB" w14:paraId="128B94C0" w14:textId="77777777">
            <w:pPr>
              <w:jc w:val="both"/>
              <w:rPr>
                <w:rFonts w:asciiTheme="minorHAnsi" w:hAnsiTheme="minorHAnsi" w:cstheme="minorHAnsi"/>
                <w:bCs/>
                <w:sz w:val="22"/>
                <w:szCs w:val="22"/>
              </w:rPr>
            </w:pPr>
          </w:p>
        </w:tc>
        <w:tc>
          <w:tcPr>
            <w:tcW w:w="2268" w:type="dxa"/>
          </w:tcPr>
          <w:p w:rsidR="00514ECA" w:rsidRPr="00B677A8" w:rsidP="00B803CB" w14:paraId="02B76C86" w14:textId="4F47DA39">
            <w:pPr>
              <w:jc w:val="both"/>
              <w:rPr>
                <w:rFonts w:asciiTheme="minorHAnsi" w:hAnsiTheme="minorHAnsi" w:cstheme="minorHAnsi"/>
                <w:bCs/>
                <w:sz w:val="22"/>
                <w:szCs w:val="22"/>
              </w:rPr>
            </w:pPr>
            <w:r w:rsidRPr="00B677A8">
              <w:rPr>
                <w:rFonts w:asciiTheme="minorHAnsi" w:hAnsiTheme="minorHAnsi" w:cstheme="minorHAnsi"/>
                <w:bCs/>
                <w:sz w:val="22"/>
                <w:szCs w:val="22"/>
              </w:rPr>
              <w:t>Pravidelná revize obsahu registrů a metodických materiálů</w:t>
            </w:r>
          </w:p>
        </w:tc>
        <w:tc>
          <w:tcPr>
            <w:tcW w:w="1134" w:type="dxa"/>
          </w:tcPr>
          <w:p w:rsidR="00514ECA" w:rsidRPr="00B677A8" w:rsidP="00B803CB" w14:paraId="6E97EA0B" w14:textId="74D8BE20">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F31B2D">
              <w:rPr>
                <w:rFonts w:asciiTheme="minorHAnsi" w:hAnsiTheme="minorHAnsi" w:cstheme="minorHAnsi"/>
                <w:bCs/>
                <w:sz w:val="22"/>
                <w:szCs w:val="22"/>
              </w:rPr>
              <w:t>5</w:t>
            </w:r>
          </w:p>
        </w:tc>
        <w:tc>
          <w:tcPr>
            <w:tcW w:w="851" w:type="dxa"/>
          </w:tcPr>
          <w:p w:rsidR="00514ECA" w:rsidRPr="00B677A8" w:rsidP="00B803CB" w14:paraId="54FA93BE" w14:textId="3C953C47">
            <w:pPr>
              <w:jc w:val="both"/>
              <w:rPr>
                <w:rFonts w:asciiTheme="minorHAnsi" w:hAnsiTheme="minorHAnsi" w:cstheme="minorHAnsi"/>
                <w:bCs/>
                <w:sz w:val="22"/>
                <w:szCs w:val="22"/>
              </w:rPr>
            </w:pPr>
            <w:r w:rsidRPr="00B677A8">
              <w:rPr>
                <w:rFonts w:asciiTheme="minorHAnsi" w:hAnsiTheme="minorHAnsi" w:cstheme="minorHAnsi"/>
                <w:bCs/>
                <w:sz w:val="22"/>
                <w:szCs w:val="22"/>
              </w:rPr>
              <w:t>ÚZIS ČR</w:t>
            </w:r>
          </w:p>
        </w:tc>
        <w:tc>
          <w:tcPr>
            <w:tcW w:w="1417" w:type="dxa"/>
          </w:tcPr>
          <w:p w:rsidR="00514ECA" w:rsidRPr="00B677A8" w:rsidP="00B803CB" w14:paraId="2C02C1A8" w14:textId="249F5BC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 SZ), přímo řízené organizace, poskytovatelé zdravotní </w:t>
            </w:r>
            <w:r w:rsidRPr="00B677A8">
              <w:rPr>
                <w:rFonts w:asciiTheme="minorHAnsi" w:hAnsiTheme="minorHAnsi" w:cstheme="minorHAnsi"/>
                <w:bCs/>
                <w:sz w:val="22"/>
                <w:szCs w:val="22"/>
              </w:rPr>
              <w:t xml:space="preserve">péče, pojišťovny, odborné společnosti </w:t>
            </w:r>
          </w:p>
        </w:tc>
        <w:tc>
          <w:tcPr>
            <w:tcW w:w="2977" w:type="dxa"/>
          </w:tcPr>
          <w:p w:rsidR="00514ECA" w:rsidRPr="00B677A8" w:rsidP="00B803CB" w14:paraId="3B782923"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K 1.2023 došlo pouze k dílčím revizím stávajících materiálů.</w:t>
            </w:r>
          </w:p>
          <w:p w:rsidR="00982955" w:rsidRPr="00B677A8" w:rsidP="00B803CB" w14:paraId="00CC1783" w14:textId="3C44990E">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V návaznosti na rozšiřování NZIS o další moduly a funkcionality (dané požadavky z praxe) jsou </w:t>
            </w:r>
            <w:r w:rsidRPr="00B677A8">
              <w:rPr>
                <w:rFonts w:asciiTheme="minorHAnsi" w:hAnsiTheme="minorHAnsi" w:cstheme="minorHAnsi"/>
                <w:bCs/>
                <w:sz w:val="22"/>
                <w:szCs w:val="22"/>
              </w:rPr>
              <w:t>doplňovány i příslušné metodické materiály. V souvislosti s přípravou otevřených dat a datových souhrnů jsou ke každému výstupu připravovány metodické popisy.</w:t>
            </w:r>
          </w:p>
        </w:tc>
        <w:tc>
          <w:tcPr>
            <w:tcW w:w="3260" w:type="dxa"/>
          </w:tcPr>
          <w:p w:rsidR="00514ECA" w:rsidRPr="00B677A8" w:rsidP="00B803CB" w14:paraId="655923AD" w14:textId="2513CF85">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Do roku 2035 </w:t>
            </w:r>
            <w:r w:rsidRPr="00B677A8" w:rsidR="006A312A">
              <w:rPr>
                <w:rFonts w:asciiTheme="minorHAnsi" w:hAnsiTheme="minorHAnsi" w:cstheme="minorHAnsi"/>
                <w:bCs/>
                <w:sz w:val="22"/>
                <w:szCs w:val="22"/>
              </w:rPr>
              <w:t>průběžně pokračovat podle potřeb.</w:t>
            </w:r>
            <w:r w:rsidRPr="00B677A8" w:rsidR="001702B1">
              <w:rPr>
                <w:rFonts w:asciiTheme="minorHAnsi" w:hAnsiTheme="minorHAnsi" w:cstheme="minorHAnsi"/>
                <w:bCs/>
                <w:sz w:val="22"/>
                <w:szCs w:val="22"/>
              </w:rPr>
              <w:t xml:space="preserve"> Postupovat podle Koncepce sdílení a sekundárního vytěžování dat NZIS</w:t>
            </w:r>
          </w:p>
        </w:tc>
      </w:tr>
      <w:tr w14:paraId="412C538F" w14:textId="35191216" w:rsidTr="00F53A99">
        <w:tblPrEx>
          <w:tblW w:w="15451" w:type="dxa"/>
          <w:tblInd w:w="-147" w:type="dxa"/>
          <w:tblLayout w:type="fixed"/>
          <w:tblCellMar>
            <w:left w:w="70" w:type="dxa"/>
            <w:right w:w="70" w:type="dxa"/>
          </w:tblCellMar>
          <w:tblLook w:val="0000"/>
        </w:tblPrEx>
        <w:trPr>
          <w:trHeight w:val="835"/>
        </w:trPr>
        <w:tc>
          <w:tcPr>
            <w:tcW w:w="1560" w:type="dxa"/>
            <w:vMerge w:val="restart"/>
          </w:tcPr>
          <w:p w:rsidR="00514ECA" w:rsidRPr="00B677A8" w:rsidP="00B803CB" w14:paraId="11CC178B" w14:textId="1C041548">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5</w:t>
            </w:r>
          </w:p>
          <w:p w:rsidR="00514ECA" w:rsidRPr="00B677A8" w:rsidP="00B803CB" w14:paraId="4BE2AA8B" w14:textId="32D6B0EB">
            <w:pPr>
              <w:ind w:left="-38"/>
              <w:jc w:val="both"/>
              <w:rPr>
                <w:rFonts w:asciiTheme="minorHAnsi" w:hAnsiTheme="minorHAnsi" w:cstheme="minorHAnsi"/>
                <w:bCs/>
                <w:sz w:val="22"/>
                <w:szCs w:val="22"/>
              </w:rPr>
            </w:pPr>
            <w:r w:rsidRPr="00B677A8">
              <w:rPr>
                <w:rFonts w:asciiTheme="minorHAnsi" w:eastAsiaTheme="minorHAnsi" w:hAnsiTheme="minorHAnsi" w:cstheme="minorHAnsi"/>
                <w:bCs/>
                <w:sz w:val="22"/>
                <w:szCs w:val="22"/>
              </w:rPr>
              <w:t>Správa systému s rozvojem katalogu služeb elektronického zdravotnictví</w:t>
            </w:r>
          </w:p>
        </w:tc>
        <w:tc>
          <w:tcPr>
            <w:tcW w:w="1984" w:type="dxa"/>
          </w:tcPr>
          <w:p w:rsidR="00514ECA" w:rsidRPr="00B677A8" w:rsidP="00B803CB" w14:paraId="60D10752" w14:textId="77777777">
            <w:pPr>
              <w:jc w:val="both"/>
              <w:rPr>
                <w:rFonts w:asciiTheme="minorHAnsi" w:hAnsiTheme="minorHAnsi" w:cstheme="minorHAnsi"/>
                <w:bCs/>
                <w:sz w:val="22"/>
                <w:szCs w:val="22"/>
              </w:rPr>
            </w:pPr>
          </w:p>
        </w:tc>
        <w:tc>
          <w:tcPr>
            <w:tcW w:w="2268" w:type="dxa"/>
          </w:tcPr>
          <w:p w:rsidR="00514ECA" w:rsidRPr="00B677A8" w:rsidP="00B803CB" w14:paraId="51B56792" w14:textId="1B6084BD">
            <w:pPr>
              <w:jc w:val="both"/>
              <w:rPr>
                <w:rFonts w:asciiTheme="minorHAnsi" w:hAnsiTheme="minorHAnsi" w:cstheme="minorHAnsi"/>
                <w:bCs/>
                <w:sz w:val="22"/>
                <w:szCs w:val="22"/>
              </w:rPr>
            </w:pPr>
            <w:r w:rsidRPr="00B677A8">
              <w:rPr>
                <w:rFonts w:asciiTheme="minorHAnsi" w:hAnsiTheme="minorHAnsi" w:cstheme="minorHAnsi"/>
                <w:bCs/>
                <w:sz w:val="22"/>
                <w:szCs w:val="22"/>
              </w:rPr>
              <w:t>Příprava řídicích aktů, metodik, vyhlášek pro správu IS katalogu služeb a jejich průběžná aktualizace</w:t>
            </w:r>
          </w:p>
        </w:tc>
        <w:tc>
          <w:tcPr>
            <w:tcW w:w="1134" w:type="dxa"/>
          </w:tcPr>
          <w:p w:rsidR="00514ECA" w:rsidRPr="00B677A8" w:rsidP="00B803CB" w14:paraId="08695EFD" w14:textId="64312C6D">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F31B2D">
              <w:rPr>
                <w:rFonts w:asciiTheme="minorHAnsi" w:hAnsiTheme="minorHAnsi" w:cstheme="minorHAnsi"/>
                <w:bCs/>
                <w:sz w:val="22"/>
                <w:szCs w:val="22"/>
              </w:rPr>
              <w:t>5</w:t>
            </w:r>
          </w:p>
        </w:tc>
        <w:tc>
          <w:tcPr>
            <w:tcW w:w="851" w:type="dxa"/>
          </w:tcPr>
          <w:p w:rsidR="00514ECA" w:rsidRPr="00B677A8" w:rsidP="00B803CB" w14:paraId="4D6DCED9" w14:textId="6E14257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A61B4B">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08A54ADB" w14:textId="1238263B">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(SL, SZ, SE), ÚZIS ČR, MV </w:t>
            </w:r>
          </w:p>
        </w:tc>
        <w:tc>
          <w:tcPr>
            <w:tcW w:w="2977" w:type="dxa"/>
          </w:tcPr>
          <w:p w:rsidR="00514ECA" w:rsidRPr="00B677A8" w:rsidP="00B803CB" w14:paraId="483555E0" w14:textId="1ED13E75">
            <w:pPr>
              <w:jc w:val="both"/>
              <w:rPr>
                <w:rFonts w:asciiTheme="minorHAnsi" w:hAnsiTheme="minorHAnsi" w:cstheme="minorHAnsi"/>
                <w:bCs/>
                <w:sz w:val="22"/>
                <w:szCs w:val="22"/>
              </w:rPr>
            </w:pPr>
            <w:r w:rsidRPr="00B677A8">
              <w:rPr>
                <w:rFonts w:asciiTheme="minorHAnsi" w:hAnsiTheme="minorHAnsi" w:cstheme="minorHAnsi"/>
                <w:bCs/>
                <w:sz w:val="22"/>
                <w:szCs w:val="22"/>
              </w:rPr>
              <w:t>Probíhá realizace</w:t>
            </w:r>
            <w:r w:rsidRPr="00B677A8" w:rsidR="00E367DB">
              <w:rPr>
                <w:rFonts w:asciiTheme="minorHAnsi" w:hAnsiTheme="minorHAnsi" w:cstheme="minorHAnsi"/>
                <w:bCs/>
                <w:sz w:val="22"/>
                <w:szCs w:val="22"/>
              </w:rPr>
              <w:t xml:space="preserve"> katalogu v rámci Projektů podpory digitálních služeb NPO.</w:t>
            </w:r>
            <w:r w:rsidRPr="00B677A8">
              <w:rPr>
                <w:rFonts w:asciiTheme="minorHAnsi" w:hAnsiTheme="minorHAnsi" w:cstheme="minorHAnsi"/>
                <w:bCs/>
                <w:sz w:val="22"/>
                <w:szCs w:val="22"/>
              </w:rPr>
              <w:t xml:space="preserve"> projektu </w:t>
            </w:r>
          </w:p>
        </w:tc>
        <w:tc>
          <w:tcPr>
            <w:tcW w:w="3260" w:type="dxa"/>
          </w:tcPr>
          <w:p w:rsidR="00514ECA" w:rsidRPr="00B677A8" w:rsidP="00B803CB" w14:paraId="1DD7A92A" w14:textId="0C889188">
            <w:pPr>
              <w:jc w:val="both"/>
              <w:rPr>
                <w:rFonts w:asciiTheme="minorHAnsi" w:hAnsiTheme="minorHAnsi" w:cstheme="minorHAnsi"/>
                <w:bCs/>
                <w:sz w:val="22"/>
                <w:szCs w:val="22"/>
              </w:rPr>
            </w:pPr>
            <w:r w:rsidRPr="00B677A8">
              <w:rPr>
                <w:rFonts w:asciiTheme="minorHAnsi" w:hAnsiTheme="minorHAnsi" w:cstheme="minorHAnsi"/>
                <w:bCs/>
                <w:sz w:val="22"/>
                <w:szCs w:val="22"/>
              </w:rPr>
              <w:t>Po roce 2026 p</w:t>
            </w:r>
            <w:r w:rsidRPr="00B677A8" w:rsidR="003C0D78">
              <w:rPr>
                <w:rFonts w:asciiTheme="minorHAnsi" w:hAnsiTheme="minorHAnsi" w:cstheme="minorHAnsi"/>
                <w:bCs/>
                <w:sz w:val="22"/>
                <w:szCs w:val="22"/>
              </w:rPr>
              <w:t xml:space="preserve">okračovat v návaznosti na </w:t>
            </w:r>
            <w:r w:rsidRPr="00B677A8">
              <w:rPr>
                <w:rFonts w:asciiTheme="minorHAnsi" w:hAnsiTheme="minorHAnsi" w:cstheme="minorHAnsi"/>
                <w:bCs/>
                <w:sz w:val="22"/>
                <w:szCs w:val="22"/>
              </w:rPr>
              <w:t xml:space="preserve">související dokončené </w:t>
            </w:r>
            <w:r w:rsidRPr="00B677A8" w:rsidR="003C0D78">
              <w:rPr>
                <w:rFonts w:asciiTheme="minorHAnsi" w:hAnsiTheme="minorHAnsi" w:cstheme="minorHAnsi"/>
                <w:bCs/>
                <w:sz w:val="22"/>
                <w:szCs w:val="22"/>
              </w:rPr>
              <w:t xml:space="preserve">projekty </w:t>
            </w:r>
            <w:r w:rsidRPr="00B677A8" w:rsidR="002B0DA4">
              <w:rPr>
                <w:rFonts w:asciiTheme="minorHAnsi" w:hAnsiTheme="minorHAnsi" w:cstheme="minorHAnsi"/>
                <w:bCs/>
                <w:sz w:val="22"/>
                <w:szCs w:val="22"/>
              </w:rPr>
              <w:t xml:space="preserve">NPO, včetně zajištění udržitelnosti </w:t>
            </w:r>
            <w:r w:rsidRPr="00B677A8">
              <w:rPr>
                <w:rFonts w:asciiTheme="minorHAnsi" w:hAnsiTheme="minorHAnsi" w:cstheme="minorHAnsi"/>
                <w:bCs/>
                <w:sz w:val="22"/>
                <w:szCs w:val="22"/>
              </w:rPr>
              <w:t xml:space="preserve">a dalšího rozvoje </w:t>
            </w:r>
            <w:r w:rsidRPr="00B677A8" w:rsidR="002B0DA4">
              <w:rPr>
                <w:rFonts w:asciiTheme="minorHAnsi" w:hAnsiTheme="minorHAnsi" w:cstheme="minorHAnsi"/>
                <w:bCs/>
                <w:sz w:val="22"/>
                <w:szCs w:val="22"/>
              </w:rPr>
              <w:t>do roku 2035.</w:t>
            </w:r>
          </w:p>
        </w:tc>
      </w:tr>
      <w:tr w14:paraId="015181D5" w14:textId="75817B8F"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74C77984" w14:textId="77777777">
            <w:pPr>
              <w:ind w:left="-38"/>
              <w:jc w:val="both"/>
              <w:rPr>
                <w:rFonts w:asciiTheme="minorHAnsi" w:hAnsiTheme="minorHAnsi" w:cstheme="minorHAnsi"/>
                <w:bCs/>
                <w:sz w:val="22"/>
                <w:szCs w:val="22"/>
              </w:rPr>
            </w:pPr>
          </w:p>
        </w:tc>
        <w:tc>
          <w:tcPr>
            <w:tcW w:w="1984" w:type="dxa"/>
          </w:tcPr>
          <w:p w:rsidR="00514ECA" w:rsidRPr="00B677A8" w:rsidP="00B803CB" w14:paraId="421A961C" w14:textId="77777777">
            <w:pPr>
              <w:jc w:val="both"/>
              <w:rPr>
                <w:rFonts w:asciiTheme="minorHAnsi" w:hAnsiTheme="minorHAnsi" w:cstheme="minorHAnsi"/>
                <w:bCs/>
                <w:sz w:val="22"/>
                <w:szCs w:val="22"/>
              </w:rPr>
            </w:pPr>
          </w:p>
        </w:tc>
        <w:tc>
          <w:tcPr>
            <w:tcW w:w="2268" w:type="dxa"/>
          </w:tcPr>
          <w:p w:rsidR="00514ECA" w:rsidRPr="00B677A8" w:rsidP="00B803CB" w14:paraId="13079428" w14:textId="4E12CBA0">
            <w:pPr>
              <w:jc w:val="both"/>
              <w:rPr>
                <w:rFonts w:asciiTheme="minorHAnsi" w:hAnsiTheme="minorHAnsi" w:cstheme="minorHAnsi"/>
                <w:bCs/>
                <w:sz w:val="22"/>
                <w:szCs w:val="22"/>
              </w:rPr>
            </w:pPr>
            <w:r w:rsidRPr="00B677A8">
              <w:rPr>
                <w:rFonts w:asciiTheme="minorHAnsi" w:hAnsiTheme="minorHAnsi" w:cstheme="minorHAnsi"/>
                <w:bCs/>
                <w:sz w:val="22"/>
                <w:szCs w:val="22"/>
              </w:rPr>
              <w:t>Zajištění správy katalogu služeb a SW nástrojů na jeho správu</w:t>
            </w:r>
          </w:p>
          <w:p w:rsidR="00514ECA" w:rsidRPr="00B677A8" w:rsidP="00B803CB" w14:paraId="238DB1EB" w14:textId="77777777">
            <w:pPr>
              <w:jc w:val="both"/>
              <w:rPr>
                <w:rFonts w:asciiTheme="minorHAnsi" w:hAnsiTheme="minorHAnsi" w:cstheme="minorHAnsi"/>
                <w:bCs/>
                <w:sz w:val="22"/>
                <w:szCs w:val="22"/>
              </w:rPr>
            </w:pPr>
          </w:p>
        </w:tc>
        <w:tc>
          <w:tcPr>
            <w:tcW w:w="1134" w:type="dxa"/>
          </w:tcPr>
          <w:p w:rsidR="00514ECA" w:rsidRPr="00B677A8" w:rsidP="00B803CB" w14:paraId="4834F335" w14:textId="58AB1F4F">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A33378">
              <w:rPr>
                <w:rFonts w:asciiTheme="minorHAnsi" w:hAnsiTheme="minorHAnsi" w:cstheme="minorHAnsi"/>
                <w:bCs/>
                <w:sz w:val="22"/>
                <w:szCs w:val="22"/>
              </w:rPr>
              <w:t>5</w:t>
            </w:r>
          </w:p>
        </w:tc>
        <w:tc>
          <w:tcPr>
            <w:tcW w:w="851" w:type="dxa"/>
          </w:tcPr>
          <w:p w:rsidR="00514ECA" w:rsidRPr="00B677A8" w:rsidP="00B803CB" w14:paraId="32631671" w14:textId="0B7A352A">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F56D6A">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1E60ACE4" w14:textId="0F1F517F">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(SL, SZ, SE), ÚZIS ČR, MV  </w:t>
            </w:r>
          </w:p>
        </w:tc>
        <w:tc>
          <w:tcPr>
            <w:tcW w:w="2977" w:type="dxa"/>
          </w:tcPr>
          <w:p w:rsidR="00514ECA" w:rsidRPr="00B677A8" w:rsidP="00B803CB" w14:paraId="7DD5775F" w14:textId="21F59A83">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Plněno prostřednictvím </w:t>
            </w:r>
            <w:r w:rsidRPr="00B677A8" w:rsidR="00D252C7">
              <w:rPr>
                <w:rFonts w:asciiTheme="minorHAnsi" w:hAnsiTheme="minorHAnsi" w:cstheme="minorHAnsi"/>
                <w:bCs/>
                <w:sz w:val="22"/>
                <w:szCs w:val="22"/>
              </w:rPr>
              <w:t xml:space="preserve"> Projektů podpory digitálních služeb NPO</w:t>
            </w:r>
            <w:r w:rsidRPr="00B677A8">
              <w:rPr>
                <w:rFonts w:asciiTheme="minorHAnsi" w:hAnsiTheme="minorHAnsi" w:cstheme="minorHAnsi"/>
                <w:bCs/>
                <w:sz w:val="22"/>
                <w:szCs w:val="22"/>
              </w:rPr>
              <w:t>.</w:t>
            </w:r>
          </w:p>
        </w:tc>
        <w:tc>
          <w:tcPr>
            <w:tcW w:w="3260" w:type="dxa"/>
          </w:tcPr>
          <w:p w:rsidR="00514ECA" w:rsidRPr="00B677A8" w:rsidP="00B803CB" w14:paraId="036E0BD9" w14:textId="26CD2A57">
            <w:pPr>
              <w:jc w:val="both"/>
              <w:rPr>
                <w:rFonts w:asciiTheme="minorHAnsi" w:hAnsiTheme="minorHAnsi" w:cstheme="minorHAnsi"/>
                <w:bCs/>
                <w:sz w:val="22"/>
                <w:szCs w:val="22"/>
              </w:rPr>
            </w:pPr>
            <w:r w:rsidRPr="00B677A8">
              <w:rPr>
                <w:rFonts w:asciiTheme="minorHAnsi" w:hAnsiTheme="minorHAnsi" w:cstheme="minorHAnsi"/>
                <w:bCs/>
                <w:sz w:val="22"/>
                <w:szCs w:val="22"/>
              </w:rPr>
              <w:t>P</w:t>
            </w:r>
            <w:r w:rsidRPr="00B677A8" w:rsidR="00711726">
              <w:rPr>
                <w:rFonts w:asciiTheme="minorHAnsi" w:hAnsiTheme="minorHAnsi" w:cstheme="minorHAnsi"/>
                <w:bCs/>
                <w:sz w:val="22"/>
                <w:szCs w:val="22"/>
              </w:rPr>
              <w:t>o</w:t>
            </w:r>
            <w:r w:rsidRPr="00B677A8" w:rsidR="00347FE0">
              <w:rPr>
                <w:rFonts w:asciiTheme="minorHAnsi" w:hAnsiTheme="minorHAnsi" w:cstheme="minorHAnsi"/>
                <w:bCs/>
                <w:sz w:val="22"/>
                <w:szCs w:val="22"/>
              </w:rPr>
              <w:t xml:space="preserve"> dokončení v roce 2025</w:t>
            </w:r>
            <w:r w:rsidRPr="00B677A8">
              <w:rPr>
                <w:rFonts w:asciiTheme="minorHAnsi" w:hAnsiTheme="minorHAnsi" w:cstheme="minorHAnsi"/>
                <w:bCs/>
                <w:sz w:val="22"/>
                <w:szCs w:val="22"/>
              </w:rPr>
              <w:t xml:space="preserve"> zajistit do </w:t>
            </w:r>
            <w:r w:rsidRPr="00B677A8" w:rsidR="00711726">
              <w:rPr>
                <w:rFonts w:asciiTheme="minorHAnsi" w:hAnsiTheme="minorHAnsi" w:cstheme="minorHAnsi"/>
                <w:bCs/>
                <w:sz w:val="22"/>
                <w:szCs w:val="22"/>
              </w:rPr>
              <w:t xml:space="preserve"> roku 2035  udržitelnost a další rozvoj.</w:t>
            </w:r>
          </w:p>
        </w:tc>
      </w:tr>
      <w:tr w14:paraId="3776D4FF" w14:textId="2FC930B7" w:rsidTr="00F53A99">
        <w:tblPrEx>
          <w:tblW w:w="15451" w:type="dxa"/>
          <w:tblInd w:w="-147" w:type="dxa"/>
          <w:tblLayout w:type="fixed"/>
          <w:tblCellMar>
            <w:left w:w="70" w:type="dxa"/>
            <w:right w:w="70" w:type="dxa"/>
          </w:tblCellMar>
          <w:tblLook w:val="0000"/>
        </w:tblPrEx>
        <w:trPr>
          <w:trHeight w:val="835"/>
        </w:trPr>
        <w:tc>
          <w:tcPr>
            <w:tcW w:w="1560" w:type="dxa"/>
            <w:vMerge w:val="restart"/>
          </w:tcPr>
          <w:p w:rsidR="00514ECA" w:rsidRPr="00B677A8" w:rsidP="00B803CB" w14:paraId="5C8E5EFA" w14:textId="5F8CB22A">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6</w:t>
            </w:r>
            <w:r w:rsidRPr="00B677A8" w:rsidR="00C11D1F">
              <w:rPr>
                <w:rFonts w:asciiTheme="minorHAnsi" w:eastAsiaTheme="minorHAnsi" w:hAnsiTheme="minorHAnsi" w:cstheme="minorHAnsi"/>
                <w:bCs/>
                <w:sz w:val="22"/>
                <w:szCs w:val="22"/>
              </w:rPr>
              <w:t xml:space="preserve"> </w:t>
            </w:r>
            <w:r w:rsidRPr="00B677A8">
              <w:rPr>
                <w:rFonts w:asciiTheme="minorHAnsi" w:eastAsiaTheme="minorHAnsi" w:hAnsiTheme="minorHAnsi" w:cstheme="minorHAnsi"/>
                <w:bCs/>
                <w:sz w:val="22"/>
                <w:szCs w:val="22"/>
              </w:rPr>
              <w:t>Podpora využívání a standardizace nástrojů elektronického zdravotnictví</w:t>
            </w:r>
          </w:p>
        </w:tc>
        <w:tc>
          <w:tcPr>
            <w:tcW w:w="1984" w:type="dxa"/>
          </w:tcPr>
          <w:p w:rsidR="00514ECA" w:rsidRPr="00B677A8" w:rsidP="00B803CB" w14:paraId="6C08AB37" w14:textId="77777777">
            <w:pPr>
              <w:jc w:val="both"/>
              <w:rPr>
                <w:rFonts w:asciiTheme="minorHAnsi" w:hAnsiTheme="minorHAnsi" w:cstheme="minorHAnsi"/>
                <w:bCs/>
                <w:sz w:val="22"/>
                <w:szCs w:val="22"/>
              </w:rPr>
            </w:pPr>
          </w:p>
        </w:tc>
        <w:tc>
          <w:tcPr>
            <w:tcW w:w="2268" w:type="dxa"/>
          </w:tcPr>
          <w:p w:rsidR="00514ECA" w:rsidRPr="00B677A8" w:rsidP="00B803CB" w14:paraId="5CDE8857" w14:textId="798C4CE5">
            <w:pPr>
              <w:jc w:val="both"/>
              <w:rPr>
                <w:rFonts w:asciiTheme="minorHAnsi" w:hAnsiTheme="minorHAnsi" w:cstheme="minorHAnsi"/>
                <w:bCs/>
                <w:sz w:val="22"/>
                <w:szCs w:val="22"/>
              </w:rPr>
            </w:pPr>
            <w:r w:rsidRPr="00B677A8">
              <w:rPr>
                <w:rFonts w:asciiTheme="minorHAnsi" w:hAnsiTheme="minorHAnsi" w:cstheme="minorHAnsi"/>
                <w:bCs/>
                <w:sz w:val="22"/>
                <w:szCs w:val="22"/>
              </w:rPr>
              <w:t>Z</w:t>
            </w:r>
            <w:r w:rsidRPr="00B677A8" w:rsidR="00AE0CDD">
              <w:rPr>
                <w:rFonts w:asciiTheme="minorHAnsi" w:hAnsiTheme="minorHAnsi" w:cstheme="minorHAnsi"/>
                <w:bCs/>
                <w:sz w:val="22"/>
                <w:szCs w:val="22"/>
              </w:rPr>
              <w:t>ajištění souladu zákona</w:t>
            </w:r>
            <w:r w:rsidRPr="00B677A8">
              <w:rPr>
                <w:rFonts w:asciiTheme="minorHAnsi" w:hAnsiTheme="minorHAnsi" w:cstheme="minorHAnsi"/>
                <w:bCs/>
                <w:sz w:val="22"/>
                <w:szCs w:val="22"/>
              </w:rPr>
              <w:t xml:space="preserve"> o elektronizaci zdravotnictví a nařízení  o EHDS</w:t>
            </w:r>
          </w:p>
        </w:tc>
        <w:tc>
          <w:tcPr>
            <w:tcW w:w="1134" w:type="dxa"/>
          </w:tcPr>
          <w:p w:rsidR="00514ECA" w:rsidRPr="00B677A8" w:rsidP="00B803CB" w14:paraId="1197B8C2" w14:textId="1AB6E620">
            <w:pPr>
              <w:jc w:val="both"/>
              <w:rPr>
                <w:rFonts w:asciiTheme="minorHAnsi" w:hAnsiTheme="minorHAnsi" w:cstheme="minorHAnsi"/>
                <w:bCs/>
                <w:sz w:val="22"/>
                <w:szCs w:val="22"/>
              </w:rPr>
            </w:pPr>
            <w:r w:rsidRPr="00B677A8">
              <w:rPr>
                <w:rFonts w:asciiTheme="minorHAnsi" w:hAnsiTheme="minorHAnsi" w:cstheme="minorHAnsi"/>
                <w:bCs/>
                <w:sz w:val="22"/>
                <w:szCs w:val="22"/>
              </w:rPr>
              <w:t>2020-20</w:t>
            </w:r>
            <w:r w:rsidRPr="00B677A8" w:rsidR="00445E7E">
              <w:rPr>
                <w:rFonts w:asciiTheme="minorHAnsi" w:hAnsiTheme="minorHAnsi" w:cstheme="minorHAnsi"/>
                <w:bCs/>
                <w:sz w:val="22"/>
                <w:szCs w:val="22"/>
              </w:rPr>
              <w:t>35</w:t>
            </w:r>
          </w:p>
        </w:tc>
        <w:tc>
          <w:tcPr>
            <w:tcW w:w="851" w:type="dxa"/>
          </w:tcPr>
          <w:p w:rsidR="00514ECA" w:rsidRPr="00B677A8" w:rsidP="00B803CB" w14:paraId="04979963" w14:textId="0EB251F6">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F56D6A">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46E41334" w14:textId="3F86211F">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(SZ, SL), SÚKL, ÚZIS ČR </w:t>
            </w:r>
          </w:p>
        </w:tc>
        <w:tc>
          <w:tcPr>
            <w:tcW w:w="2977" w:type="dxa"/>
          </w:tcPr>
          <w:p w:rsidR="00514ECA" w:rsidRPr="00B677A8" w:rsidP="00B803CB" w14:paraId="36C17A1F" w14:textId="24A574EE">
            <w:pPr>
              <w:jc w:val="both"/>
              <w:rPr>
                <w:rFonts w:asciiTheme="minorHAnsi" w:hAnsiTheme="minorHAnsi" w:cstheme="minorHAnsi"/>
                <w:bCs/>
                <w:sz w:val="22"/>
                <w:szCs w:val="22"/>
              </w:rPr>
            </w:pPr>
            <w:r w:rsidRPr="00B677A8">
              <w:rPr>
                <w:rFonts w:asciiTheme="minorHAnsi" w:hAnsiTheme="minorHAnsi" w:cstheme="minorHAnsi"/>
                <w:bCs/>
                <w:sz w:val="22"/>
                <w:szCs w:val="22"/>
              </w:rPr>
              <w:t>Prvotní zadání s</w:t>
            </w:r>
            <w:r w:rsidRPr="00B677A8">
              <w:rPr>
                <w:rFonts w:asciiTheme="minorHAnsi" w:hAnsiTheme="minorHAnsi" w:cstheme="minorHAnsi"/>
                <w:bCs/>
                <w:sz w:val="22"/>
                <w:szCs w:val="22"/>
              </w:rPr>
              <w:t>plněno viz 2.3.1</w:t>
            </w:r>
          </w:p>
        </w:tc>
        <w:tc>
          <w:tcPr>
            <w:tcW w:w="3260" w:type="dxa"/>
          </w:tcPr>
          <w:p w:rsidR="00514ECA" w:rsidRPr="00B677A8" w:rsidP="00B803CB" w14:paraId="545EAEC0" w14:textId="3D07F0F0">
            <w:pPr>
              <w:jc w:val="both"/>
              <w:rPr>
                <w:rFonts w:asciiTheme="minorHAnsi" w:hAnsiTheme="minorHAnsi" w:cstheme="minorHAnsi"/>
                <w:bCs/>
                <w:sz w:val="22"/>
                <w:szCs w:val="22"/>
              </w:rPr>
            </w:pPr>
            <w:r w:rsidRPr="00B677A8">
              <w:rPr>
                <w:rFonts w:asciiTheme="minorHAnsi" w:hAnsiTheme="minorHAnsi" w:cstheme="minorHAnsi"/>
                <w:bCs/>
                <w:sz w:val="22"/>
                <w:szCs w:val="22"/>
              </w:rPr>
              <w:t>Nezbytná p</w:t>
            </w:r>
            <w:r w:rsidRPr="00B677A8" w:rsidR="00796F36">
              <w:rPr>
                <w:rFonts w:asciiTheme="minorHAnsi" w:hAnsiTheme="minorHAnsi" w:cstheme="minorHAnsi"/>
                <w:bCs/>
                <w:sz w:val="22"/>
                <w:szCs w:val="22"/>
              </w:rPr>
              <w:t xml:space="preserve">růběžná novelizace v reakci na postup digitalizace a evropskou legislativu </w:t>
            </w:r>
            <w:r w:rsidRPr="00B677A8" w:rsidR="002F1BF9">
              <w:rPr>
                <w:rFonts w:asciiTheme="minorHAnsi" w:hAnsiTheme="minorHAnsi" w:cstheme="minorHAnsi"/>
                <w:bCs/>
                <w:sz w:val="22"/>
                <w:szCs w:val="22"/>
              </w:rPr>
              <w:t xml:space="preserve">a standardizaci </w:t>
            </w:r>
            <w:r w:rsidRPr="00B677A8" w:rsidR="00796F36">
              <w:rPr>
                <w:rFonts w:asciiTheme="minorHAnsi" w:hAnsiTheme="minorHAnsi" w:cstheme="minorHAnsi"/>
                <w:bCs/>
                <w:sz w:val="22"/>
                <w:szCs w:val="22"/>
              </w:rPr>
              <w:t>až do roku 2035.</w:t>
            </w:r>
          </w:p>
        </w:tc>
      </w:tr>
      <w:tr w14:paraId="245C9554" w14:textId="4F62E686"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02545EF0" w14:textId="77777777">
            <w:pPr>
              <w:ind w:left="-38"/>
              <w:jc w:val="both"/>
              <w:rPr>
                <w:rFonts w:asciiTheme="minorHAnsi" w:hAnsiTheme="minorHAnsi" w:cstheme="minorHAnsi"/>
                <w:bCs/>
                <w:sz w:val="22"/>
                <w:szCs w:val="22"/>
              </w:rPr>
            </w:pPr>
          </w:p>
        </w:tc>
        <w:tc>
          <w:tcPr>
            <w:tcW w:w="1984" w:type="dxa"/>
          </w:tcPr>
          <w:p w:rsidR="00514ECA" w:rsidRPr="00B677A8" w:rsidP="00B803CB" w14:paraId="61EB00FF" w14:textId="77777777">
            <w:pPr>
              <w:jc w:val="both"/>
              <w:rPr>
                <w:rFonts w:asciiTheme="minorHAnsi" w:hAnsiTheme="minorHAnsi" w:cstheme="minorHAnsi"/>
                <w:bCs/>
                <w:sz w:val="22"/>
                <w:szCs w:val="22"/>
              </w:rPr>
            </w:pPr>
          </w:p>
        </w:tc>
        <w:tc>
          <w:tcPr>
            <w:tcW w:w="2268" w:type="dxa"/>
          </w:tcPr>
          <w:p w:rsidR="00514ECA" w:rsidRPr="00B677A8" w:rsidP="00B803CB" w14:paraId="168C20F0" w14:textId="239D3AF1">
            <w:pPr>
              <w:jc w:val="both"/>
              <w:rPr>
                <w:rFonts w:asciiTheme="minorHAnsi" w:hAnsiTheme="minorHAnsi" w:cstheme="minorHAnsi"/>
                <w:bCs/>
                <w:sz w:val="22"/>
                <w:szCs w:val="22"/>
              </w:rPr>
            </w:pPr>
            <w:r w:rsidRPr="00B677A8">
              <w:rPr>
                <w:rFonts w:asciiTheme="minorHAnsi" w:hAnsiTheme="minorHAnsi" w:cstheme="minorHAnsi"/>
                <w:bCs/>
                <w:sz w:val="22"/>
                <w:szCs w:val="22"/>
              </w:rPr>
              <w:t>Zavádění standardů a certifikací EZ</w:t>
            </w:r>
          </w:p>
          <w:p w:rsidR="00514ECA" w:rsidRPr="00B677A8" w:rsidP="00B803CB" w14:paraId="79CAD3CF" w14:textId="37A4260F">
            <w:pPr>
              <w:jc w:val="both"/>
              <w:rPr>
                <w:rFonts w:asciiTheme="minorHAnsi" w:hAnsiTheme="minorHAnsi" w:cstheme="minorHAnsi"/>
                <w:bCs/>
                <w:sz w:val="22"/>
                <w:szCs w:val="22"/>
              </w:rPr>
            </w:pPr>
          </w:p>
        </w:tc>
        <w:tc>
          <w:tcPr>
            <w:tcW w:w="1134" w:type="dxa"/>
          </w:tcPr>
          <w:p w:rsidR="00514ECA" w:rsidRPr="00B677A8" w:rsidP="00B803CB" w14:paraId="463AAB2E" w14:textId="648DF67C">
            <w:pPr>
              <w:jc w:val="both"/>
              <w:rPr>
                <w:rFonts w:asciiTheme="minorHAnsi" w:hAnsiTheme="minorHAnsi" w:cstheme="minorHAnsi"/>
                <w:bCs/>
                <w:sz w:val="22"/>
                <w:szCs w:val="22"/>
              </w:rPr>
            </w:pPr>
            <w:r w:rsidRPr="00B677A8">
              <w:rPr>
                <w:rFonts w:asciiTheme="minorHAnsi" w:hAnsiTheme="minorHAnsi" w:cstheme="minorHAnsi"/>
                <w:bCs/>
                <w:sz w:val="22"/>
                <w:szCs w:val="22"/>
              </w:rPr>
              <w:t>2020-203</w:t>
            </w:r>
            <w:r w:rsidRPr="00B677A8" w:rsidR="000773A9">
              <w:rPr>
                <w:rFonts w:asciiTheme="minorHAnsi" w:hAnsiTheme="minorHAnsi" w:cstheme="minorHAnsi"/>
                <w:bCs/>
                <w:sz w:val="22"/>
                <w:szCs w:val="22"/>
              </w:rPr>
              <w:t>5</w:t>
            </w:r>
          </w:p>
        </w:tc>
        <w:tc>
          <w:tcPr>
            <w:tcW w:w="851" w:type="dxa"/>
          </w:tcPr>
          <w:p w:rsidR="00514ECA" w:rsidRPr="00B677A8" w:rsidP="00B803CB" w14:paraId="53C5DCCD" w14:textId="3E27457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313366">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68B47D30" w14:textId="77E03AA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(SZ, SL, SE), SÚKL, ÚZIS ČR, VZP a další zdravotní </w:t>
            </w:r>
            <w:r w:rsidRPr="00B677A8">
              <w:rPr>
                <w:rFonts w:asciiTheme="minorHAnsi" w:hAnsiTheme="minorHAnsi" w:cstheme="minorHAnsi"/>
                <w:bCs/>
                <w:sz w:val="22"/>
                <w:szCs w:val="22"/>
              </w:rPr>
              <w:t>pojišťovny, ČSSZ</w:t>
            </w:r>
          </w:p>
        </w:tc>
        <w:tc>
          <w:tcPr>
            <w:tcW w:w="2977" w:type="dxa"/>
          </w:tcPr>
          <w:p w:rsidR="00514ECA" w:rsidRPr="00B677A8" w:rsidP="00B803CB" w14:paraId="6F3376AC" w14:textId="0B49893E">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w:t>
            </w:r>
            <w:r w:rsidRPr="00B677A8" w:rsidR="003A019A">
              <w:rPr>
                <w:rFonts w:asciiTheme="minorHAnsi" w:hAnsiTheme="minorHAnsi" w:cstheme="minorHAnsi"/>
                <w:bCs/>
                <w:sz w:val="22"/>
                <w:szCs w:val="22"/>
              </w:rPr>
              <w:t>ů Podpory zajištění a rozvoje interoperability</w:t>
            </w:r>
            <w:r w:rsidRPr="00B677A8" w:rsidR="007D0110">
              <w:rPr>
                <w:rFonts w:asciiTheme="minorHAnsi" w:hAnsiTheme="minorHAnsi" w:cstheme="minorHAnsi"/>
                <w:bCs/>
                <w:sz w:val="22"/>
                <w:szCs w:val="22"/>
              </w:rPr>
              <w:t xml:space="preserve"> NPO</w:t>
            </w:r>
            <w:r w:rsidRPr="00B677A8">
              <w:rPr>
                <w:rFonts w:asciiTheme="minorHAnsi" w:hAnsiTheme="minorHAnsi" w:cstheme="minorHAnsi"/>
                <w:bCs/>
                <w:sz w:val="22"/>
                <w:szCs w:val="22"/>
              </w:rPr>
              <w:t>.</w:t>
            </w:r>
            <w:r w:rsidRPr="00B677A8" w:rsidR="00FE7854">
              <w:rPr>
                <w:rFonts w:asciiTheme="minorHAnsi" w:hAnsiTheme="minorHAnsi" w:cstheme="minorHAnsi"/>
                <w:bCs/>
                <w:sz w:val="22"/>
                <w:szCs w:val="22"/>
              </w:rPr>
              <w:t xml:space="preserve"> Standardy jsou průběžně vydávány od ledna 2025.</w:t>
            </w:r>
          </w:p>
        </w:tc>
        <w:tc>
          <w:tcPr>
            <w:tcW w:w="3260" w:type="dxa"/>
          </w:tcPr>
          <w:p w:rsidR="00514ECA" w:rsidRPr="00B677A8" w:rsidP="00B803CB" w14:paraId="2032764D" w14:textId="03FA150A">
            <w:pPr>
              <w:jc w:val="both"/>
              <w:rPr>
                <w:rFonts w:asciiTheme="minorHAnsi" w:hAnsiTheme="minorHAnsi" w:cstheme="minorHAnsi"/>
                <w:bCs/>
                <w:sz w:val="22"/>
                <w:szCs w:val="22"/>
              </w:rPr>
            </w:pPr>
            <w:r w:rsidRPr="00B677A8">
              <w:rPr>
                <w:rFonts w:asciiTheme="minorHAnsi" w:hAnsiTheme="minorHAnsi" w:cstheme="minorHAnsi"/>
                <w:bCs/>
                <w:sz w:val="22"/>
                <w:szCs w:val="22"/>
              </w:rPr>
              <w:t>Průběžná novelizace v reakci na postup digitalizace a evropskou legislativu až do roku 2035.</w:t>
            </w:r>
            <w:r w:rsidRPr="00B677A8" w:rsidR="00D74C74">
              <w:rPr>
                <w:rFonts w:asciiTheme="minorHAnsi" w:hAnsiTheme="minorHAnsi" w:cstheme="minorHAnsi"/>
                <w:bCs/>
                <w:sz w:val="22"/>
                <w:szCs w:val="22"/>
              </w:rPr>
              <w:t xml:space="preserve"> Postupné pokrytí všech prioritní</w:t>
            </w:r>
            <w:r w:rsidRPr="00B677A8" w:rsidR="00D63272">
              <w:rPr>
                <w:rFonts w:asciiTheme="minorHAnsi" w:hAnsiTheme="minorHAnsi" w:cstheme="minorHAnsi"/>
                <w:bCs/>
                <w:sz w:val="22"/>
                <w:szCs w:val="22"/>
              </w:rPr>
              <w:t>ch</w:t>
            </w:r>
            <w:r w:rsidRPr="00B677A8" w:rsidR="00D74C74">
              <w:rPr>
                <w:rFonts w:asciiTheme="minorHAnsi" w:hAnsiTheme="minorHAnsi" w:cstheme="minorHAnsi"/>
                <w:bCs/>
                <w:sz w:val="22"/>
                <w:szCs w:val="22"/>
              </w:rPr>
              <w:t xml:space="preserve"> a </w:t>
            </w:r>
            <w:r w:rsidRPr="00B677A8" w:rsidR="00AE0CDD">
              <w:rPr>
                <w:rFonts w:asciiTheme="minorHAnsi" w:hAnsiTheme="minorHAnsi" w:cstheme="minorHAnsi"/>
                <w:bCs/>
                <w:sz w:val="22"/>
                <w:szCs w:val="22"/>
              </w:rPr>
              <w:t>dalších</w:t>
            </w:r>
            <w:r w:rsidRPr="00B677A8" w:rsidR="00D74C74">
              <w:rPr>
                <w:rFonts w:asciiTheme="minorHAnsi" w:hAnsiTheme="minorHAnsi" w:cstheme="minorHAnsi"/>
                <w:bCs/>
                <w:sz w:val="22"/>
                <w:szCs w:val="22"/>
              </w:rPr>
              <w:t xml:space="preserve"> kategorií</w:t>
            </w:r>
            <w:r w:rsidRPr="00B677A8" w:rsidR="00D63272">
              <w:rPr>
                <w:rFonts w:asciiTheme="minorHAnsi" w:hAnsiTheme="minorHAnsi" w:cstheme="minorHAnsi"/>
                <w:bCs/>
                <w:sz w:val="22"/>
                <w:szCs w:val="22"/>
              </w:rPr>
              <w:t xml:space="preserve"> v praxi užívaných kategorií EHR</w:t>
            </w:r>
            <w:r w:rsidRPr="00B677A8" w:rsidR="00D74C74">
              <w:rPr>
                <w:rFonts w:asciiTheme="minorHAnsi" w:hAnsiTheme="minorHAnsi" w:cstheme="minorHAnsi"/>
                <w:bCs/>
                <w:sz w:val="22"/>
                <w:szCs w:val="22"/>
              </w:rPr>
              <w:t xml:space="preserve"> </w:t>
            </w:r>
            <w:r w:rsidRPr="00B677A8" w:rsidR="00D63272">
              <w:rPr>
                <w:rFonts w:asciiTheme="minorHAnsi" w:hAnsiTheme="minorHAnsi" w:cstheme="minorHAnsi"/>
                <w:bCs/>
                <w:sz w:val="22"/>
                <w:szCs w:val="22"/>
              </w:rPr>
              <w:t xml:space="preserve">a zajištění </w:t>
            </w:r>
            <w:r w:rsidRPr="00B677A8" w:rsidR="00B32EE4">
              <w:rPr>
                <w:rFonts w:asciiTheme="minorHAnsi" w:hAnsiTheme="minorHAnsi" w:cstheme="minorHAnsi"/>
                <w:bCs/>
                <w:sz w:val="22"/>
                <w:szCs w:val="22"/>
              </w:rPr>
              <w:t>správy a rozvoje standardů a souvisejících procesů.</w:t>
            </w:r>
          </w:p>
        </w:tc>
      </w:tr>
      <w:tr w14:paraId="4F685D7D" w14:textId="4AF136B9" w:rsidTr="00F53A99">
        <w:tblPrEx>
          <w:tblW w:w="15451" w:type="dxa"/>
          <w:tblInd w:w="-147" w:type="dxa"/>
          <w:tblLayout w:type="fixed"/>
          <w:tblCellMar>
            <w:left w:w="70" w:type="dxa"/>
            <w:right w:w="70" w:type="dxa"/>
          </w:tblCellMar>
          <w:tblLook w:val="0000"/>
        </w:tblPrEx>
        <w:trPr>
          <w:trHeight w:val="581"/>
        </w:trPr>
        <w:tc>
          <w:tcPr>
            <w:tcW w:w="1560" w:type="dxa"/>
            <w:vMerge w:val="restart"/>
          </w:tcPr>
          <w:p w:rsidR="00514ECA" w:rsidRPr="00B677A8" w:rsidP="00B803CB" w14:paraId="64D61D64" w14:textId="7F68CF0B">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 xml:space="preserve">7 </w:t>
            </w:r>
            <w:r w:rsidRPr="00B677A8">
              <w:rPr>
                <w:rFonts w:asciiTheme="minorHAnsi" w:hAnsiTheme="minorHAnsi" w:cstheme="minorHAnsi"/>
                <w:bCs/>
                <w:sz w:val="22"/>
                <w:szCs w:val="22"/>
              </w:rPr>
              <w:t>Podpora využití nových digitálních technologií a postupů v oblasti personalizované medicíny, domácí péče, integrované péče</w:t>
            </w:r>
          </w:p>
        </w:tc>
        <w:tc>
          <w:tcPr>
            <w:tcW w:w="1984" w:type="dxa"/>
          </w:tcPr>
          <w:p w:rsidR="00514ECA" w:rsidRPr="00B677A8" w:rsidP="00B803CB" w14:paraId="741B6CA2" w14:textId="77777777">
            <w:pPr>
              <w:jc w:val="both"/>
              <w:rPr>
                <w:rFonts w:asciiTheme="minorHAnsi" w:hAnsiTheme="minorHAnsi" w:cstheme="minorHAnsi"/>
                <w:bCs/>
                <w:sz w:val="22"/>
                <w:szCs w:val="22"/>
              </w:rPr>
            </w:pPr>
          </w:p>
        </w:tc>
        <w:tc>
          <w:tcPr>
            <w:tcW w:w="2268" w:type="dxa"/>
          </w:tcPr>
          <w:p w:rsidR="00514ECA" w:rsidRPr="00B677A8" w:rsidP="00B803CB" w14:paraId="05326E9B" w14:textId="0F92217D">
            <w:pPr>
              <w:jc w:val="both"/>
              <w:rPr>
                <w:rFonts w:asciiTheme="minorHAnsi" w:hAnsiTheme="minorHAnsi" w:cstheme="minorHAnsi"/>
                <w:bCs/>
                <w:sz w:val="22"/>
                <w:szCs w:val="22"/>
              </w:rPr>
            </w:pPr>
            <w:r w:rsidRPr="00B677A8">
              <w:rPr>
                <w:rFonts w:asciiTheme="minorHAnsi" w:hAnsiTheme="minorHAnsi" w:cstheme="minorHAnsi"/>
                <w:bCs/>
                <w:sz w:val="22"/>
                <w:szCs w:val="22"/>
              </w:rPr>
              <w:t>Vypracování dílčích strategií pro využívání digitálních technologií na podporu personalizované medicíny, domácí péče, integrované péče</w:t>
            </w:r>
          </w:p>
        </w:tc>
        <w:tc>
          <w:tcPr>
            <w:tcW w:w="1134" w:type="dxa"/>
          </w:tcPr>
          <w:p w:rsidR="00514ECA" w:rsidRPr="00B677A8" w:rsidP="00B803CB" w14:paraId="7B0E7BAF" w14:textId="21C78F7D">
            <w:pPr>
              <w:jc w:val="both"/>
              <w:rPr>
                <w:rFonts w:asciiTheme="minorHAnsi" w:hAnsiTheme="minorHAnsi" w:cstheme="minorHAnsi"/>
                <w:bCs/>
                <w:sz w:val="22"/>
                <w:szCs w:val="22"/>
              </w:rPr>
            </w:pPr>
            <w:r w:rsidRPr="00B677A8">
              <w:rPr>
                <w:rFonts w:asciiTheme="minorHAnsi" w:hAnsiTheme="minorHAnsi" w:cstheme="minorHAnsi"/>
                <w:bCs/>
                <w:sz w:val="22"/>
                <w:szCs w:val="22"/>
              </w:rPr>
              <w:t>2021-20</w:t>
            </w:r>
            <w:r w:rsidRPr="00B677A8" w:rsidR="009B415D">
              <w:rPr>
                <w:rFonts w:asciiTheme="minorHAnsi" w:hAnsiTheme="minorHAnsi" w:cstheme="minorHAnsi"/>
                <w:bCs/>
                <w:sz w:val="22"/>
                <w:szCs w:val="22"/>
              </w:rPr>
              <w:t>30</w:t>
            </w:r>
          </w:p>
        </w:tc>
        <w:tc>
          <w:tcPr>
            <w:tcW w:w="851" w:type="dxa"/>
          </w:tcPr>
          <w:p w:rsidR="00514ECA" w:rsidRPr="00B677A8" w:rsidP="00B803CB" w14:paraId="75ABE46E" w14:textId="3978AA06">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83249B">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688FCDE0" w14:textId="54D7DC86">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(SE, SZ, SL), SÚKL, zdravotní pojišťovny, poskytovatelé zdravotních služeb, vzdělávací instituce ve zdravotnictví, výzkumné instituce zaměřené na zdravotnictví,  </w:t>
            </w:r>
          </w:p>
          <w:p w:rsidR="00514ECA" w:rsidRPr="00B677A8" w:rsidP="00B803CB" w14:paraId="5E67338A" w14:textId="0A6B8B6D">
            <w:pPr>
              <w:jc w:val="both"/>
              <w:rPr>
                <w:rFonts w:asciiTheme="minorHAnsi" w:hAnsiTheme="minorHAnsi" w:cstheme="minorHAnsi"/>
                <w:bCs/>
                <w:sz w:val="22"/>
                <w:szCs w:val="22"/>
              </w:rPr>
            </w:pPr>
            <w:r w:rsidRPr="00B677A8">
              <w:rPr>
                <w:rFonts w:asciiTheme="minorHAnsi" w:hAnsiTheme="minorHAnsi" w:cstheme="minorHAnsi"/>
                <w:bCs/>
                <w:sz w:val="22"/>
                <w:szCs w:val="22"/>
              </w:rPr>
              <w:t>pacientské organizace</w:t>
            </w:r>
          </w:p>
        </w:tc>
        <w:tc>
          <w:tcPr>
            <w:tcW w:w="2977" w:type="dxa"/>
          </w:tcPr>
          <w:p w:rsidR="00514ECA" w:rsidRPr="00B677A8" w:rsidP="00B803CB" w14:paraId="38311E68" w14:textId="3BCFFB2E">
            <w:pPr>
              <w:jc w:val="both"/>
              <w:rPr>
                <w:rFonts w:asciiTheme="minorHAnsi" w:hAnsiTheme="minorHAnsi" w:cstheme="minorHAnsi"/>
                <w:bCs/>
                <w:sz w:val="22"/>
                <w:szCs w:val="22"/>
              </w:rPr>
            </w:pPr>
            <w:r w:rsidRPr="00B677A8">
              <w:rPr>
                <w:rFonts w:asciiTheme="minorHAnsi" w:hAnsiTheme="minorHAnsi" w:cstheme="minorHAnsi"/>
                <w:bCs/>
                <w:sz w:val="22"/>
                <w:szCs w:val="22"/>
              </w:rPr>
              <w:t>Prob</w:t>
            </w:r>
            <w:r w:rsidRPr="00B677A8" w:rsidR="002A2336">
              <w:rPr>
                <w:rFonts w:asciiTheme="minorHAnsi" w:hAnsiTheme="minorHAnsi" w:cstheme="minorHAnsi"/>
                <w:bCs/>
                <w:sz w:val="22"/>
                <w:szCs w:val="22"/>
              </w:rPr>
              <w:t>ěhlo</w:t>
            </w:r>
            <w:r w:rsidRPr="00B677A8">
              <w:rPr>
                <w:rFonts w:asciiTheme="minorHAnsi" w:hAnsiTheme="minorHAnsi" w:cstheme="minorHAnsi"/>
                <w:bCs/>
                <w:sz w:val="22"/>
                <w:szCs w:val="22"/>
              </w:rPr>
              <w:t xml:space="preserve"> strukturované zpracování dobrých praxí z rozvinutých regionů v EU v rámci společnou akce JADECARE.</w:t>
            </w:r>
          </w:p>
        </w:tc>
        <w:tc>
          <w:tcPr>
            <w:tcW w:w="3260" w:type="dxa"/>
          </w:tcPr>
          <w:p w:rsidR="00514ECA" w:rsidRPr="00B677A8" w:rsidP="00B803CB" w14:paraId="22CD2D60" w14:textId="6F769B9D">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Kontinuálně </w:t>
            </w:r>
            <w:r w:rsidRPr="00B677A8" w:rsidR="00CE1780">
              <w:rPr>
                <w:rFonts w:asciiTheme="minorHAnsi" w:hAnsiTheme="minorHAnsi" w:cstheme="minorHAnsi"/>
                <w:bCs/>
                <w:sz w:val="22"/>
                <w:szCs w:val="22"/>
              </w:rPr>
              <w:t>pokračovat do roku 2035 podle vývoje zdravotnického systému.</w:t>
            </w:r>
            <w:r w:rsidRPr="00B677A8" w:rsidR="002A2336">
              <w:rPr>
                <w:rFonts w:asciiTheme="minorHAnsi" w:hAnsiTheme="minorHAnsi" w:cstheme="minorHAnsi"/>
                <w:bCs/>
                <w:sz w:val="22"/>
                <w:szCs w:val="22"/>
              </w:rPr>
              <w:t xml:space="preserve"> Rozpracovat témata v rámci Národní strategie elektronického zdravotnictví v reakci na rozvoj </w:t>
            </w:r>
            <w:r w:rsidRPr="00B677A8" w:rsidR="009B415D">
              <w:rPr>
                <w:rFonts w:asciiTheme="minorHAnsi" w:hAnsiTheme="minorHAnsi" w:cstheme="minorHAnsi"/>
                <w:bCs/>
                <w:sz w:val="22"/>
                <w:szCs w:val="22"/>
              </w:rPr>
              <w:t>uvedených konceptů zdravotnického systému.</w:t>
            </w:r>
          </w:p>
        </w:tc>
      </w:tr>
      <w:tr w14:paraId="57A87911" w14:textId="3452915F" w:rsidTr="00F53A99">
        <w:tblPrEx>
          <w:tblW w:w="15451" w:type="dxa"/>
          <w:tblInd w:w="-147" w:type="dxa"/>
          <w:tblLayout w:type="fixed"/>
          <w:tblCellMar>
            <w:left w:w="70" w:type="dxa"/>
            <w:right w:w="70" w:type="dxa"/>
          </w:tblCellMar>
          <w:tblLook w:val="0000"/>
        </w:tblPrEx>
        <w:trPr>
          <w:trHeight w:val="835"/>
        </w:trPr>
        <w:tc>
          <w:tcPr>
            <w:tcW w:w="1560" w:type="dxa"/>
            <w:vMerge/>
          </w:tcPr>
          <w:p w:rsidR="00514ECA" w:rsidRPr="00B677A8" w:rsidP="00B803CB" w14:paraId="0A3A6C20" w14:textId="77777777">
            <w:pPr>
              <w:ind w:left="-38"/>
              <w:jc w:val="both"/>
              <w:rPr>
                <w:rFonts w:asciiTheme="minorHAnsi" w:hAnsiTheme="minorHAnsi" w:cstheme="minorHAnsi"/>
                <w:bCs/>
                <w:sz w:val="22"/>
                <w:szCs w:val="22"/>
              </w:rPr>
            </w:pPr>
          </w:p>
        </w:tc>
        <w:tc>
          <w:tcPr>
            <w:tcW w:w="1984" w:type="dxa"/>
          </w:tcPr>
          <w:p w:rsidR="00514ECA" w:rsidRPr="00B677A8" w:rsidP="00B803CB" w14:paraId="7A1FFC02" w14:textId="77777777">
            <w:pPr>
              <w:jc w:val="both"/>
              <w:rPr>
                <w:rFonts w:asciiTheme="minorHAnsi" w:hAnsiTheme="minorHAnsi" w:cstheme="minorHAnsi"/>
                <w:bCs/>
                <w:sz w:val="22"/>
                <w:szCs w:val="22"/>
              </w:rPr>
            </w:pPr>
          </w:p>
        </w:tc>
        <w:tc>
          <w:tcPr>
            <w:tcW w:w="2268" w:type="dxa"/>
          </w:tcPr>
          <w:p w:rsidR="00514ECA" w:rsidRPr="00B677A8" w:rsidP="00B803CB" w14:paraId="5FF69AE6" w14:textId="5B2373D8">
            <w:pPr>
              <w:jc w:val="both"/>
              <w:rPr>
                <w:rFonts w:asciiTheme="minorHAnsi" w:hAnsiTheme="minorHAnsi" w:cstheme="minorHAnsi"/>
                <w:bCs/>
                <w:sz w:val="22"/>
                <w:szCs w:val="22"/>
              </w:rPr>
            </w:pPr>
            <w:r w:rsidRPr="00B677A8">
              <w:rPr>
                <w:rFonts w:asciiTheme="minorHAnsi" w:hAnsiTheme="minorHAnsi" w:cstheme="minorHAnsi"/>
                <w:bCs/>
                <w:sz w:val="22"/>
                <w:szCs w:val="22"/>
              </w:rPr>
              <w:t>Vytvoření programu podpory kompetenčního centra pro digitální technologie</w:t>
            </w:r>
          </w:p>
          <w:p w:rsidR="00514ECA" w:rsidRPr="00B677A8" w:rsidP="00B803CB" w14:paraId="7E52B4CE" w14:textId="0B006086">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Zavedení systému pro posuzování nástrojů </w:t>
            </w:r>
            <w:r w:rsidRPr="00B677A8">
              <w:rPr>
                <w:rFonts w:asciiTheme="minorHAnsi" w:hAnsiTheme="minorHAnsi" w:cstheme="minorHAnsi"/>
                <w:bCs/>
                <w:sz w:val="22"/>
                <w:szCs w:val="22"/>
              </w:rPr>
              <w:t>digitální medicíny (zejm</w:t>
            </w:r>
            <w:r w:rsidRPr="00B677A8" w:rsidR="00F93331">
              <w:rPr>
                <w:rFonts w:asciiTheme="minorHAnsi" w:hAnsiTheme="minorHAnsi" w:cstheme="minorHAnsi"/>
                <w:bCs/>
                <w:sz w:val="22"/>
                <w:szCs w:val="22"/>
              </w:rPr>
              <w:t>éna</w:t>
            </w:r>
            <w:r w:rsidRPr="00B677A8">
              <w:rPr>
                <w:rFonts w:asciiTheme="minorHAnsi" w:hAnsiTheme="minorHAnsi" w:cstheme="minorHAnsi"/>
                <w:bCs/>
                <w:sz w:val="22"/>
                <w:szCs w:val="22"/>
              </w:rPr>
              <w:t xml:space="preserve"> mHealth na předpis) do systému zdravotních služeb</w:t>
            </w:r>
          </w:p>
        </w:tc>
        <w:tc>
          <w:tcPr>
            <w:tcW w:w="1134" w:type="dxa"/>
          </w:tcPr>
          <w:p w:rsidR="00514ECA" w:rsidRPr="00B677A8" w:rsidP="00B803CB" w14:paraId="1B2CADB6" w14:textId="5C459807">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D52894">
              <w:rPr>
                <w:rFonts w:asciiTheme="minorHAnsi" w:hAnsiTheme="minorHAnsi" w:cstheme="minorHAnsi"/>
                <w:bCs/>
                <w:sz w:val="22"/>
                <w:szCs w:val="22"/>
              </w:rPr>
              <w:t>5</w:t>
            </w:r>
          </w:p>
        </w:tc>
        <w:tc>
          <w:tcPr>
            <w:tcW w:w="851" w:type="dxa"/>
          </w:tcPr>
          <w:p w:rsidR="00514ECA" w:rsidRPr="00B677A8" w:rsidP="00B803CB" w14:paraId="1C10F058" w14:textId="68A7B3E7">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0E0DAB">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0FD3C1DA" w14:textId="44E50BEC">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(SE, SZ, SL), SÚKL, zdravotní pojišťovny, poskytovatelé zdravotních služeb, přímo </w:t>
            </w:r>
            <w:r w:rsidRPr="00B677A8">
              <w:rPr>
                <w:rFonts w:asciiTheme="minorHAnsi" w:hAnsiTheme="minorHAnsi" w:cstheme="minorHAnsi"/>
                <w:bCs/>
                <w:sz w:val="22"/>
                <w:szCs w:val="22"/>
              </w:rPr>
              <w:t xml:space="preserve">řízené organizace,  </w:t>
            </w:r>
          </w:p>
          <w:p w:rsidR="00514ECA" w:rsidRPr="00B677A8" w:rsidP="00B803CB" w14:paraId="50E10F8C" w14:textId="49C070CE">
            <w:pPr>
              <w:jc w:val="both"/>
              <w:rPr>
                <w:rFonts w:asciiTheme="minorHAnsi" w:hAnsiTheme="minorHAnsi" w:cstheme="minorHAnsi"/>
                <w:bCs/>
                <w:sz w:val="22"/>
                <w:szCs w:val="22"/>
              </w:rPr>
            </w:pPr>
            <w:r w:rsidRPr="00B677A8">
              <w:rPr>
                <w:rFonts w:asciiTheme="minorHAnsi" w:hAnsiTheme="minorHAnsi" w:cstheme="minorHAnsi"/>
                <w:bCs/>
                <w:sz w:val="22"/>
                <w:szCs w:val="22"/>
              </w:rPr>
              <w:t>Pacientské organizace</w:t>
            </w:r>
          </w:p>
        </w:tc>
        <w:tc>
          <w:tcPr>
            <w:tcW w:w="2977" w:type="dxa"/>
          </w:tcPr>
          <w:p w:rsidR="00514ECA" w:rsidRPr="00B677A8" w:rsidP="00B803CB" w14:paraId="651E54CF" w14:textId="5C8BD7B8">
            <w:pPr>
              <w:jc w:val="both"/>
              <w:rPr>
                <w:rFonts w:asciiTheme="minorHAnsi" w:hAnsiTheme="minorHAnsi" w:cstheme="minorHAnsi"/>
                <w:bCs/>
                <w:sz w:val="22"/>
                <w:szCs w:val="22"/>
              </w:rPr>
            </w:pPr>
            <w:r w:rsidRPr="00B677A8">
              <w:rPr>
                <w:rFonts w:asciiTheme="minorHAnsi" w:hAnsiTheme="minorHAnsi" w:cstheme="minorHAnsi"/>
                <w:bCs/>
                <w:sz w:val="22"/>
                <w:szCs w:val="22"/>
              </w:rPr>
              <w:t>Zčásti p</w:t>
            </w:r>
            <w:r w:rsidRPr="00B677A8">
              <w:rPr>
                <w:rFonts w:asciiTheme="minorHAnsi" w:hAnsiTheme="minorHAnsi" w:cstheme="minorHAnsi"/>
                <w:bCs/>
                <w:sz w:val="22"/>
                <w:szCs w:val="22"/>
              </w:rPr>
              <w:t>lněno prostřednictvím projektu</w:t>
            </w:r>
            <w:r w:rsidRPr="00B677A8" w:rsidR="00747759">
              <w:rPr>
                <w:rFonts w:asciiTheme="minorHAnsi" w:hAnsiTheme="minorHAnsi" w:cstheme="minorHAnsi"/>
                <w:bCs/>
                <w:sz w:val="22"/>
                <w:szCs w:val="22"/>
              </w:rPr>
              <w:t xml:space="preserve"> Podpora projektů pro inovační technologie ve zdravotnictví – telemedicína NPO</w:t>
            </w:r>
            <w:r w:rsidRPr="00B677A8">
              <w:rPr>
                <w:rFonts w:asciiTheme="minorHAnsi" w:hAnsiTheme="minorHAnsi" w:cstheme="minorHAnsi"/>
                <w:bCs/>
                <w:sz w:val="22"/>
                <w:szCs w:val="22"/>
              </w:rPr>
              <w:t>.</w:t>
            </w:r>
          </w:p>
        </w:tc>
        <w:tc>
          <w:tcPr>
            <w:tcW w:w="3260" w:type="dxa"/>
          </w:tcPr>
          <w:p w:rsidR="00514ECA" w:rsidRPr="00B677A8" w:rsidP="00B803CB" w14:paraId="5E9FA6A7" w14:textId="6F19E298">
            <w:pPr>
              <w:jc w:val="both"/>
              <w:rPr>
                <w:rFonts w:asciiTheme="minorHAnsi" w:hAnsiTheme="minorHAnsi" w:cstheme="minorHAnsi"/>
                <w:bCs/>
                <w:sz w:val="22"/>
                <w:szCs w:val="22"/>
              </w:rPr>
            </w:pPr>
            <w:r w:rsidRPr="00B677A8">
              <w:rPr>
                <w:rFonts w:asciiTheme="minorHAnsi" w:hAnsiTheme="minorHAnsi" w:cstheme="minorHAnsi"/>
                <w:bCs/>
                <w:sz w:val="22"/>
                <w:szCs w:val="22"/>
              </w:rPr>
              <w:t>Zajistit udržitelnost</w:t>
            </w:r>
            <w:r w:rsidRPr="00B677A8" w:rsidR="002A3821">
              <w:rPr>
                <w:rFonts w:asciiTheme="minorHAnsi" w:hAnsiTheme="minorHAnsi" w:cstheme="minorHAnsi"/>
                <w:bCs/>
                <w:sz w:val="22"/>
                <w:szCs w:val="22"/>
              </w:rPr>
              <w:t xml:space="preserve"> </w:t>
            </w:r>
            <w:r w:rsidRPr="00B677A8" w:rsidR="009339C1">
              <w:rPr>
                <w:rFonts w:asciiTheme="minorHAnsi" w:hAnsiTheme="minorHAnsi" w:cstheme="minorHAnsi"/>
                <w:bCs/>
                <w:sz w:val="22"/>
                <w:szCs w:val="22"/>
              </w:rPr>
              <w:t xml:space="preserve">a další rozvoj </w:t>
            </w:r>
            <w:r w:rsidRPr="00B677A8" w:rsidR="002A3821">
              <w:rPr>
                <w:rFonts w:asciiTheme="minorHAnsi" w:hAnsiTheme="minorHAnsi" w:cstheme="minorHAnsi"/>
                <w:bCs/>
                <w:sz w:val="22"/>
                <w:szCs w:val="22"/>
              </w:rPr>
              <w:t>výstupů projektů</w:t>
            </w:r>
            <w:r w:rsidRPr="00B677A8" w:rsidR="00A4646F">
              <w:rPr>
                <w:rFonts w:asciiTheme="minorHAnsi" w:hAnsiTheme="minorHAnsi" w:cstheme="minorHAnsi"/>
                <w:bCs/>
                <w:sz w:val="22"/>
                <w:szCs w:val="22"/>
              </w:rPr>
              <w:t xml:space="preserve"> pro skončení NPO</w:t>
            </w:r>
            <w:r w:rsidRPr="00B677A8" w:rsidR="00D52894">
              <w:rPr>
                <w:rFonts w:asciiTheme="minorHAnsi" w:hAnsiTheme="minorHAnsi" w:cstheme="minorHAnsi"/>
                <w:bCs/>
                <w:sz w:val="22"/>
                <w:szCs w:val="22"/>
              </w:rPr>
              <w:t xml:space="preserve"> po roce 2027</w:t>
            </w:r>
            <w:r w:rsidRPr="00B677A8" w:rsidR="00A4646F">
              <w:rPr>
                <w:rFonts w:asciiTheme="minorHAnsi" w:hAnsiTheme="minorHAnsi" w:cstheme="minorHAnsi"/>
                <w:bCs/>
                <w:sz w:val="22"/>
                <w:szCs w:val="22"/>
              </w:rPr>
              <w:t>.</w:t>
            </w:r>
          </w:p>
        </w:tc>
      </w:tr>
      <w:tr w14:paraId="1C5FF1B4" w14:textId="2DC936E7" w:rsidTr="00F53A99">
        <w:tblPrEx>
          <w:tblW w:w="15451" w:type="dxa"/>
          <w:tblInd w:w="-147" w:type="dxa"/>
          <w:tblLayout w:type="fixed"/>
          <w:tblCellMar>
            <w:left w:w="70" w:type="dxa"/>
            <w:right w:w="70" w:type="dxa"/>
          </w:tblCellMar>
          <w:tblLook w:val="0000"/>
        </w:tblPrEx>
        <w:trPr>
          <w:trHeight w:val="847"/>
        </w:trPr>
        <w:tc>
          <w:tcPr>
            <w:tcW w:w="1560" w:type="dxa"/>
            <w:vMerge w:val="restart"/>
          </w:tcPr>
          <w:p w:rsidR="00514ECA" w:rsidRPr="00B677A8" w:rsidP="00B803CB" w14:paraId="71D758DA" w14:textId="6659E5E9">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 xml:space="preserve">8 </w:t>
            </w:r>
            <w:r w:rsidRPr="00B677A8">
              <w:rPr>
                <w:rFonts w:asciiTheme="minorHAnsi" w:hAnsiTheme="minorHAnsi" w:cstheme="minorHAnsi"/>
                <w:bCs/>
                <w:sz w:val="22"/>
                <w:szCs w:val="22"/>
              </w:rPr>
              <w:t>Podpora využití umělé inteligence ve zdravotnictví a implementace na ní založených služeb</w:t>
            </w:r>
          </w:p>
        </w:tc>
        <w:tc>
          <w:tcPr>
            <w:tcW w:w="1984" w:type="dxa"/>
          </w:tcPr>
          <w:p w:rsidR="00514ECA" w:rsidRPr="00B677A8" w:rsidP="00B803CB" w14:paraId="6B4821DC" w14:textId="77777777">
            <w:pPr>
              <w:jc w:val="both"/>
              <w:rPr>
                <w:rFonts w:asciiTheme="minorHAnsi" w:hAnsiTheme="minorHAnsi" w:cstheme="minorHAnsi"/>
                <w:bCs/>
                <w:sz w:val="22"/>
                <w:szCs w:val="22"/>
              </w:rPr>
            </w:pPr>
          </w:p>
        </w:tc>
        <w:tc>
          <w:tcPr>
            <w:tcW w:w="2268" w:type="dxa"/>
          </w:tcPr>
          <w:p w:rsidR="00514ECA" w:rsidRPr="00B677A8" w:rsidP="00B803CB" w14:paraId="6D78983B" w14:textId="3813D110">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Vypracování strategie využití umělé inteligence (AI) ve zdravotnictví. Vytvoření rámce pro kvalitu a životní cyklus datových souborů pro zácvik systémů s AI a pro výkonnost aplikací AI určených pro využití ve zdravotnictví. Návrh legislativních úprav pro AI ve zdravotnictví.   </w:t>
            </w:r>
          </w:p>
        </w:tc>
        <w:tc>
          <w:tcPr>
            <w:tcW w:w="1134" w:type="dxa"/>
          </w:tcPr>
          <w:p w:rsidR="00514ECA" w:rsidRPr="00B677A8" w:rsidP="00B803CB" w14:paraId="52916F49" w14:textId="167C7D15">
            <w:pPr>
              <w:jc w:val="both"/>
              <w:rPr>
                <w:rFonts w:asciiTheme="minorHAnsi" w:hAnsiTheme="minorHAnsi" w:cstheme="minorHAnsi"/>
                <w:bCs/>
                <w:sz w:val="22"/>
                <w:szCs w:val="22"/>
              </w:rPr>
            </w:pPr>
            <w:r w:rsidRPr="00B677A8">
              <w:rPr>
                <w:rFonts w:asciiTheme="minorHAnsi" w:hAnsiTheme="minorHAnsi" w:cstheme="minorHAnsi"/>
                <w:bCs/>
                <w:sz w:val="22"/>
                <w:szCs w:val="22"/>
              </w:rPr>
              <w:t>2021-20</w:t>
            </w:r>
            <w:r w:rsidRPr="00B677A8" w:rsidR="00EF6E6D">
              <w:rPr>
                <w:rFonts w:asciiTheme="minorHAnsi" w:hAnsiTheme="minorHAnsi" w:cstheme="minorHAnsi"/>
                <w:bCs/>
                <w:sz w:val="22"/>
                <w:szCs w:val="22"/>
              </w:rPr>
              <w:t>30</w:t>
            </w:r>
          </w:p>
        </w:tc>
        <w:tc>
          <w:tcPr>
            <w:tcW w:w="851" w:type="dxa"/>
          </w:tcPr>
          <w:p w:rsidR="00514ECA" w:rsidRPr="00B677A8" w:rsidP="00B803CB" w14:paraId="30673051" w14:textId="17B16DA4">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EE3F15">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01B56361" w14:textId="13DB254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(SE, SZ, SL), ÚZIS ČR, IPVZ, SZÚ, zdravotní pojišťovny, poskytovatelé zdravotních služeb, vzdělávací instituce ve zdravotnictví, výzkumné instituce zaměřené na zdravotnictví, MPO</w:t>
            </w:r>
          </w:p>
        </w:tc>
        <w:tc>
          <w:tcPr>
            <w:tcW w:w="2977" w:type="dxa"/>
          </w:tcPr>
          <w:p w:rsidR="00514ECA" w:rsidRPr="00B677A8" w:rsidP="00B803CB" w14:paraId="26B22C73" w14:textId="15A6C70C">
            <w:pPr>
              <w:jc w:val="both"/>
              <w:rPr>
                <w:rFonts w:asciiTheme="minorHAnsi" w:hAnsiTheme="minorHAnsi" w:cstheme="minorHAnsi"/>
                <w:bCs/>
                <w:sz w:val="22"/>
                <w:szCs w:val="22"/>
              </w:rPr>
            </w:pPr>
            <w:r w:rsidRPr="00B677A8">
              <w:rPr>
                <w:rFonts w:asciiTheme="minorHAnsi" w:hAnsiTheme="minorHAnsi" w:cstheme="minorHAnsi"/>
                <w:bCs/>
                <w:sz w:val="22"/>
                <w:szCs w:val="22"/>
              </w:rPr>
              <w:t>Vlastní strategie AI ve zdravotnictví prozatím není formulována – bude navazovat na evropskou legislativu, zejména AI Act, Data Act a Nařízení o EHDS. Probíhá sběr podkladů pro stanovení priorit pro strategii AI ve zdravotnictví.</w:t>
            </w:r>
          </w:p>
        </w:tc>
        <w:tc>
          <w:tcPr>
            <w:tcW w:w="3260" w:type="dxa"/>
          </w:tcPr>
          <w:p w:rsidR="00514ECA" w:rsidRPr="00B677A8" w:rsidP="00B803CB" w14:paraId="1B4BF46B" w14:textId="261D3839">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V souladu s vyhodnocením </w:t>
            </w:r>
            <w:r w:rsidRPr="00B677A8" w:rsidR="00265298">
              <w:rPr>
                <w:rFonts w:asciiTheme="minorHAnsi" w:hAnsiTheme="minorHAnsi" w:cstheme="minorHAnsi"/>
                <w:bCs/>
                <w:sz w:val="22"/>
                <w:szCs w:val="22"/>
              </w:rPr>
              <w:t>zapracovat do strategických dokumentů resortu.</w:t>
            </w:r>
            <w:r w:rsidRPr="00B677A8" w:rsidR="00EF6E6D">
              <w:rPr>
                <w:rFonts w:asciiTheme="minorHAnsi" w:hAnsiTheme="minorHAnsi" w:cstheme="minorHAnsi"/>
                <w:bCs/>
                <w:sz w:val="22"/>
                <w:szCs w:val="22"/>
              </w:rPr>
              <w:t xml:space="preserve"> Vytvořit do konce roku 2026 resort</w:t>
            </w:r>
            <w:r w:rsidRPr="00B677A8" w:rsidR="00587F30">
              <w:rPr>
                <w:rFonts w:asciiTheme="minorHAnsi" w:hAnsiTheme="minorHAnsi" w:cstheme="minorHAnsi"/>
                <w:bCs/>
                <w:sz w:val="22"/>
                <w:szCs w:val="22"/>
              </w:rPr>
              <w:t>n</w:t>
            </w:r>
            <w:r w:rsidRPr="00B677A8" w:rsidR="00EF6E6D">
              <w:rPr>
                <w:rFonts w:asciiTheme="minorHAnsi" w:hAnsiTheme="minorHAnsi" w:cstheme="minorHAnsi"/>
                <w:bCs/>
                <w:sz w:val="22"/>
                <w:szCs w:val="22"/>
              </w:rPr>
              <w:t>í strategii AI.</w:t>
            </w:r>
            <w:r w:rsidRPr="00B677A8" w:rsidR="00587F30">
              <w:rPr>
                <w:rFonts w:asciiTheme="minorHAnsi" w:hAnsiTheme="minorHAnsi" w:cstheme="minorHAnsi"/>
                <w:bCs/>
                <w:sz w:val="22"/>
                <w:szCs w:val="22"/>
              </w:rPr>
              <w:t xml:space="preserve"> </w:t>
            </w:r>
            <w:r w:rsidRPr="00B677A8" w:rsidR="00D047F5">
              <w:rPr>
                <w:rFonts w:asciiTheme="minorHAnsi" w:hAnsiTheme="minorHAnsi" w:cstheme="minorHAnsi"/>
                <w:bCs/>
                <w:sz w:val="22"/>
                <w:szCs w:val="22"/>
              </w:rPr>
              <w:t xml:space="preserve">V návaznosti na implementační praxi AI Actu navrhovat legislativní změny ve zdravotnictví. </w:t>
            </w:r>
          </w:p>
        </w:tc>
      </w:tr>
      <w:tr w14:paraId="3BE837E2" w14:textId="4BEC5EB3" w:rsidTr="00F53A99">
        <w:tblPrEx>
          <w:tblW w:w="15451" w:type="dxa"/>
          <w:tblInd w:w="-147" w:type="dxa"/>
          <w:tblLayout w:type="fixed"/>
          <w:tblCellMar>
            <w:left w:w="70" w:type="dxa"/>
            <w:right w:w="70" w:type="dxa"/>
          </w:tblCellMar>
          <w:tblLook w:val="0000"/>
        </w:tblPrEx>
        <w:trPr>
          <w:trHeight w:val="847"/>
        </w:trPr>
        <w:tc>
          <w:tcPr>
            <w:tcW w:w="1560" w:type="dxa"/>
            <w:vMerge/>
          </w:tcPr>
          <w:p w:rsidR="00514ECA" w:rsidRPr="00B677A8" w:rsidP="00B803CB" w14:paraId="2B52E80B" w14:textId="77777777">
            <w:pPr>
              <w:ind w:left="-38"/>
              <w:jc w:val="both"/>
              <w:rPr>
                <w:rFonts w:asciiTheme="minorHAnsi" w:hAnsiTheme="minorHAnsi" w:cstheme="minorHAnsi"/>
                <w:bCs/>
                <w:sz w:val="22"/>
                <w:szCs w:val="22"/>
              </w:rPr>
            </w:pPr>
          </w:p>
        </w:tc>
        <w:tc>
          <w:tcPr>
            <w:tcW w:w="1984" w:type="dxa"/>
          </w:tcPr>
          <w:p w:rsidR="00514ECA" w:rsidRPr="00B677A8" w:rsidP="00B803CB" w14:paraId="667456E3" w14:textId="77777777">
            <w:pPr>
              <w:jc w:val="both"/>
              <w:rPr>
                <w:rFonts w:asciiTheme="minorHAnsi" w:hAnsiTheme="minorHAnsi" w:cstheme="minorHAnsi"/>
                <w:bCs/>
                <w:sz w:val="22"/>
                <w:szCs w:val="22"/>
              </w:rPr>
            </w:pPr>
          </w:p>
        </w:tc>
        <w:tc>
          <w:tcPr>
            <w:tcW w:w="2268" w:type="dxa"/>
          </w:tcPr>
          <w:p w:rsidR="00514ECA" w:rsidRPr="00B677A8" w:rsidP="00B803CB" w14:paraId="440ADF5C" w14:textId="4947E6F6">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Vytvoření a implementace programu podpory kompetenčních center pro AI ve zdravotnictví. Vytvoření a </w:t>
            </w:r>
            <w:r w:rsidRPr="00B677A8">
              <w:rPr>
                <w:rFonts w:asciiTheme="minorHAnsi" w:hAnsiTheme="minorHAnsi" w:cstheme="minorHAnsi"/>
                <w:bCs/>
                <w:sz w:val="22"/>
                <w:szCs w:val="22"/>
              </w:rPr>
              <w:t>implementace programu na podporu zavádění a využívání systémů AI v prostředí poskytovatelů zdravotních služeb, klinické studie, podpora rozhodování.</w:t>
            </w:r>
          </w:p>
          <w:p w:rsidR="00514ECA" w:rsidRPr="00B677A8" w:rsidP="00B803CB" w14:paraId="252133DE" w14:textId="6F1E5A63">
            <w:pPr>
              <w:jc w:val="both"/>
              <w:rPr>
                <w:rFonts w:asciiTheme="minorHAnsi" w:hAnsiTheme="minorHAnsi" w:cstheme="minorHAnsi"/>
                <w:bCs/>
                <w:sz w:val="22"/>
                <w:szCs w:val="22"/>
              </w:rPr>
            </w:pPr>
            <w:r w:rsidRPr="00B677A8">
              <w:rPr>
                <w:rFonts w:asciiTheme="minorHAnsi" w:hAnsiTheme="minorHAnsi" w:cstheme="minorHAnsi"/>
                <w:bCs/>
                <w:sz w:val="22"/>
                <w:szCs w:val="22"/>
              </w:rPr>
              <w:t>Vytvoření sandboxu pro ověřování aplikací s AI pro zdravotnictví.</w:t>
            </w:r>
          </w:p>
          <w:p w:rsidR="00514ECA" w:rsidRPr="00B677A8" w:rsidP="00B803CB" w14:paraId="269CB794" w14:textId="7A7E80F9">
            <w:pPr>
              <w:jc w:val="both"/>
              <w:rPr>
                <w:rFonts w:asciiTheme="minorHAnsi" w:hAnsiTheme="minorHAnsi" w:cstheme="minorHAnsi"/>
                <w:bCs/>
                <w:sz w:val="22"/>
                <w:szCs w:val="22"/>
              </w:rPr>
            </w:pPr>
            <w:r w:rsidRPr="00B677A8">
              <w:rPr>
                <w:rFonts w:asciiTheme="minorHAnsi" w:hAnsiTheme="minorHAnsi" w:cstheme="minorHAnsi"/>
                <w:bCs/>
                <w:sz w:val="22"/>
                <w:szCs w:val="22"/>
              </w:rPr>
              <w:t>Vytvoření odborných kapacit potřebných pro registraci osob, notifikaci zdravotnických prostředků a dalších opatření v návaznosti na Nařízení AI</w:t>
            </w:r>
            <w:r w:rsidRPr="00B677A8" w:rsidR="00C407A0">
              <w:rPr>
                <w:rFonts w:asciiTheme="minorHAnsi" w:hAnsiTheme="minorHAnsi" w:cstheme="minorHAnsi"/>
                <w:bCs/>
                <w:sz w:val="22"/>
                <w:szCs w:val="22"/>
              </w:rPr>
              <w:t xml:space="preserve"> </w:t>
            </w:r>
            <w:r w:rsidRPr="00B677A8">
              <w:rPr>
                <w:rFonts w:asciiTheme="minorHAnsi" w:hAnsiTheme="minorHAnsi" w:cstheme="minorHAnsi"/>
                <w:bCs/>
                <w:sz w:val="22"/>
                <w:szCs w:val="22"/>
              </w:rPr>
              <w:t xml:space="preserve">Akt </w:t>
            </w:r>
          </w:p>
        </w:tc>
        <w:tc>
          <w:tcPr>
            <w:tcW w:w="1134" w:type="dxa"/>
          </w:tcPr>
          <w:p w:rsidR="00514ECA" w:rsidRPr="00B677A8" w:rsidP="00B803CB" w14:paraId="1223FF57" w14:textId="4F93C2BC">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D126CE">
              <w:rPr>
                <w:rFonts w:asciiTheme="minorHAnsi" w:hAnsiTheme="minorHAnsi" w:cstheme="minorHAnsi"/>
                <w:bCs/>
                <w:sz w:val="22"/>
                <w:szCs w:val="22"/>
              </w:rPr>
              <w:t>5</w:t>
            </w:r>
          </w:p>
        </w:tc>
        <w:tc>
          <w:tcPr>
            <w:tcW w:w="851" w:type="dxa"/>
          </w:tcPr>
          <w:p w:rsidR="00514ECA" w:rsidRPr="00B677A8" w:rsidP="00B803CB" w14:paraId="0A07676E" w14:textId="6494859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BA215F">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59178AA0" w14:textId="08F41516">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(SE, SZ, SL), zdravotní pojišťovny, poskytovatelé zdravotních služeb, </w:t>
            </w:r>
            <w:r w:rsidRPr="00B677A8">
              <w:rPr>
                <w:rFonts w:asciiTheme="minorHAnsi" w:hAnsiTheme="minorHAnsi" w:cstheme="minorHAnsi"/>
                <w:bCs/>
                <w:sz w:val="22"/>
                <w:szCs w:val="22"/>
              </w:rPr>
              <w:t>vzdělávací instituce ve zdravotnictví</w:t>
            </w:r>
          </w:p>
        </w:tc>
        <w:tc>
          <w:tcPr>
            <w:tcW w:w="2977" w:type="dxa"/>
          </w:tcPr>
          <w:p w:rsidR="00514ECA" w:rsidRPr="00B677A8" w:rsidP="00B803CB" w14:paraId="75A06523" w14:textId="5E43F15C">
            <w:pPr>
              <w:jc w:val="both"/>
              <w:rPr>
                <w:rFonts w:asciiTheme="minorHAnsi" w:hAnsiTheme="minorHAnsi" w:cstheme="minorHAnsi"/>
                <w:bCs/>
                <w:sz w:val="22"/>
                <w:szCs w:val="22"/>
              </w:rPr>
            </w:pPr>
            <w:r w:rsidRPr="00B677A8">
              <w:rPr>
                <w:rFonts w:asciiTheme="minorHAnsi" w:hAnsiTheme="minorHAnsi" w:cstheme="minorHAnsi"/>
                <w:bCs/>
                <w:sz w:val="22"/>
                <w:szCs w:val="22"/>
              </w:rPr>
              <w:t>J</w:t>
            </w:r>
            <w:r w:rsidRPr="00B677A8">
              <w:rPr>
                <w:rFonts w:asciiTheme="minorHAnsi" w:hAnsiTheme="minorHAnsi" w:cstheme="minorHAnsi"/>
                <w:bCs/>
                <w:sz w:val="22"/>
                <w:szCs w:val="22"/>
              </w:rPr>
              <w:t>sou navázány neformální vazby s řadou předních technických a medicínských výzkumně-vývojových pracovišť zaměřených na AI ve zdravotnictví v ČR.</w:t>
            </w:r>
          </w:p>
          <w:p w:rsidR="00514ECA" w:rsidRPr="00B677A8" w:rsidP="00B803CB" w14:paraId="772E07A5" w14:textId="6226B7C8">
            <w:pPr>
              <w:jc w:val="both"/>
              <w:rPr>
                <w:rFonts w:asciiTheme="minorHAnsi" w:hAnsiTheme="minorHAnsi" w:cstheme="minorHAnsi"/>
                <w:bCs/>
                <w:sz w:val="22"/>
                <w:szCs w:val="22"/>
              </w:rPr>
            </w:pPr>
            <w:r w:rsidRPr="00B677A8">
              <w:rPr>
                <w:rFonts w:asciiTheme="minorHAnsi" w:hAnsiTheme="minorHAnsi" w:cstheme="minorHAnsi"/>
                <w:bCs/>
                <w:sz w:val="22"/>
                <w:szCs w:val="22"/>
              </w:rPr>
              <w:t>Z důvodů nedostupnosti kapacit a vhodných dotačních titulů a dále priorit v základních tématech elektronizace zdravotnictví v ČR není prozatím formulován explicitní projekt zaměřený na otázky AI ve zdravotnictví na podporu opatření č.2.</w:t>
            </w:r>
            <w:r w:rsidRPr="00B677A8" w:rsidR="00B2603E">
              <w:rPr>
                <w:rFonts w:asciiTheme="minorHAnsi" w:hAnsiTheme="minorHAnsi" w:cstheme="minorHAnsi"/>
                <w:bCs/>
                <w:sz w:val="22"/>
                <w:szCs w:val="22"/>
              </w:rPr>
              <w:t xml:space="preserve"> </w:t>
            </w:r>
            <w:r w:rsidRPr="00B677A8" w:rsidR="00C24A88">
              <w:rPr>
                <w:rFonts w:asciiTheme="minorHAnsi" w:hAnsiTheme="minorHAnsi" w:cstheme="minorHAnsi"/>
                <w:bCs/>
                <w:sz w:val="22"/>
                <w:szCs w:val="22"/>
              </w:rPr>
              <w:t>Priority jsou zapracovány do Akčního plánu NAIS.</w:t>
            </w:r>
          </w:p>
        </w:tc>
        <w:tc>
          <w:tcPr>
            <w:tcW w:w="3260" w:type="dxa"/>
          </w:tcPr>
          <w:p w:rsidR="00514ECA" w:rsidRPr="00B677A8" w:rsidP="00B803CB" w14:paraId="45F9CAD9" w14:textId="37797ED5">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Zajistit personální, </w:t>
            </w:r>
            <w:r w:rsidRPr="00B677A8" w:rsidR="009C6250">
              <w:rPr>
                <w:rFonts w:asciiTheme="minorHAnsi" w:hAnsiTheme="minorHAnsi" w:cstheme="minorHAnsi"/>
                <w:bCs/>
                <w:sz w:val="22"/>
                <w:szCs w:val="22"/>
              </w:rPr>
              <w:t>finanční a další potřebné zdroje a podle možností implementovat průběžně do roku 2035.</w:t>
            </w:r>
          </w:p>
        </w:tc>
      </w:tr>
      <w:tr w14:paraId="5DB797F9" w14:textId="1AE7CE29" w:rsidTr="00F53A99">
        <w:tblPrEx>
          <w:tblW w:w="15451" w:type="dxa"/>
          <w:tblInd w:w="-147" w:type="dxa"/>
          <w:tblLayout w:type="fixed"/>
          <w:tblCellMar>
            <w:left w:w="70" w:type="dxa"/>
            <w:right w:w="70" w:type="dxa"/>
          </w:tblCellMar>
          <w:tblLook w:val="0000"/>
        </w:tblPrEx>
        <w:trPr>
          <w:trHeight w:val="847"/>
        </w:trPr>
        <w:tc>
          <w:tcPr>
            <w:tcW w:w="1560" w:type="dxa"/>
          </w:tcPr>
          <w:p w:rsidR="00514ECA" w:rsidRPr="00B677A8" w:rsidP="00B803CB" w14:paraId="27C83A2B" w14:textId="011ECD41">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 xml:space="preserve">9 </w:t>
            </w:r>
            <w:r w:rsidRPr="00B677A8">
              <w:rPr>
                <w:rFonts w:asciiTheme="minorHAnsi" w:hAnsiTheme="minorHAnsi" w:cstheme="minorHAnsi"/>
                <w:bCs/>
                <w:sz w:val="22"/>
                <w:szCs w:val="22"/>
              </w:rPr>
              <w:t xml:space="preserve">Rozvoj vědeckovýzkumné a inovační základny pro digitalizaci zdravotnictví a </w:t>
            </w:r>
            <w:r w:rsidRPr="00B677A8">
              <w:rPr>
                <w:rFonts w:asciiTheme="minorHAnsi" w:hAnsiTheme="minorHAnsi" w:cstheme="minorHAnsi"/>
                <w:bCs/>
                <w:sz w:val="22"/>
                <w:szCs w:val="22"/>
              </w:rPr>
              <w:t>rozvoj znalostní základny digitálního zdravotnictví</w:t>
            </w:r>
          </w:p>
        </w:tc>
        <w:tc>
          <w:tcPr>
            <w:tcW w:w="1984" w:type="dxa"/>
          </w:tcPr>
          <w:p w:rsidR="00514ECA" w:rsidRPr="00B677A8" w:rsidP="00B803CB" w14:paraId="72ABA2AE" w14:textId="77777777">
            <w:pPr>
              <w:jc w:val="both"/>
              <w:rPr>
                <w:rFonts w:asciiTheme="minorHAnsi" w:hAnsiTheme="minorHAnsi" w:cstheme="minorHAnsi"/>
                <w:bCs/>
                <w:sz w:val="22"/>
                <w:szCs w:val="22"/>
              </w:rPr>
            </w:pPr>
          </w:p>
        </w:tc>
        <w:tc>
          <w:tcPr>
            <w:tcW w:w="2268" w:type="dxa"/>
          </w:tcPr>
          <w:p w:rsidR="00514ECA" w:rsidRPr="00B677A8" w:rsidP="00B803CB" w14:paraId="476C4ACE" w14:textId="18363568">
            <w:pPr>
              <w:jc w:val="both"/>
              <w:rPr>
                <w:rFonts w:asciiTheme="minorHAnsi" w:hAnsiTheme="minorHAnsi" w:cstheme="minorHAnsi"/>
                <w:bCs/>
                <w:sz w:val="22"/>
                <w:szCs w:val="22"/>
              </w:rPr>
            </w:pPr>
            <w:r w:rsidRPr="00B677A8">
              <w:rPr>
                <w:rFonts w:asciiTheme="minorHAnsi" w:hAnsiTheme="minorHAnsi" w:cstheme="minorHAnsi"/>
                <w:bCs/>
                <w:sz w:val="22"/>
                <w:szCs w:val="22"/>
              </w:rPr>
              <w:t>Vytvoření a rozvoj vědeckovýzkumného či inovačního programu či centra</w:t>
            </w:r>
          </w:p>
        </w:tc>
        <w:tc>
          <w:tcPr>
            <w:tcW w:w="1134" w:type="dxa"/>
          </w:tcPr>
          <w:p w:rsidR="00514ECA" w:rsidRPr="00B677A8" w:rsidP="00B803CB" w14:paraId="10B59B28" w14:textId="6DAA56FF">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AF7088">
              <w:rPr>
                <w:rFonts w:asciiTheme="minorHAnsi" w:hAnsiTheme="minorHAnsi" w:cstheme="minorHAnsi"/>
                <w:bCs/>
                <w:sz w:val="22"/>
                <w:szCs w:val="22"/>
              </w:rPr>
              <w:t>5</w:t>
            </w:r>
          </w:p>
        </w:tc>
        <w:tc>
          <w:tcPr>
            <w:tcW w:w="851" w:type="dxa"/>
          </w:tcPr>
          <w:p w:rsidR="00514ECA" w:rsidRPr="00B677A8" w:rsidP="00B803CB" w14:paraId="220E0F8C" w14:textId="7762C69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3B0C36">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10772250" w14:textId="20358CEF">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(SE, SZ), ÚZIS ČR, vědecká pracoviště, odborné společnosti, centra inovací </w:t>
            </w:r>
            <w:r w:rsidRPr="00B677A8">
              <w:rPr>
                <w:rFonts w:asciiTheme="minorHAnsi" w:hAnsiTheme="minorHAnsi" w:cstheme="minorHAnsi"/>
                <w:bCs/>
                <w:sz w:val="22"/>
                <w:szCs w:val="22"/>
              </w:rPr>
              <w:t>v medicíně, vysoké školy</w:t>
            </w:r>
          </w:p>
        </w:tc>
        <w:tc>
          <w:tcPr>
            <w:tcW w:w="2977" w:type="dxa"/>
          </w:tcPr>
          <w:p w:rsidR="00514ECA" w:rsidRPr="00B677A8" w:rsidP="00B803CB" w14:paraId="456C103C" w14:textId="6FAA53CD">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Potřeba výzkumného pracoviště pro inovace ve zdravotnictví v ČR opět narostla; zatím však nedošlo k realizaci, zejména z důvodu nedostupnosti vhodného národního programu.  </w:t>
            </w:r>
          </w:p>
        </w:tc>
        <w:tc>
          <w:tcPr>
            <w:tcW w:w="3260" w:type="dxa"/>
          </w:tcPr>
          <w:p w:rsidR="00514ECA" w:rsidRPr="00B677A8" w:rsidP="00B803CB" w14:paraId="49DCC0E1" w14:textId="46DD50E7">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Zjištění možností a kapacit pro vytvoření centra. </w:t>
            </w:r>
          </w:p>
        </w:tc>
      </w:tr>
      <w:tr w14:paraId="2DF31B7C" w14:textId="34E0443E" w:rsidTr="00F53A99">
        <w:tblPrEx>
          <w:tblW w:w="15451" w:type="dxa"/>
          <w:tblInd w:w="-147" w:type="dxa"/>
          <w:tblLayout w:type="fixed"/>
          <w:tblCellMar>
            <w:left w:w="70" w:type="dxa"/>
            <w:right w:w="70" w:type="dxa"/>
          </w:tblCellMar>
          <w:tblLook w:val="0000"/>
        </w:tblPrEx>
        <w:trPr>
          <w:trHeight w:val="847"/>
        </w:trPr>
        <w:tc>
          <w:tcPr>
            <w:tcW w:w="1560" w:type="dxa"/>
            <w:vMerge w:val="restart"/>
          </w:tcPr>
          <w:p w:rsidR="00514ECA" w:rsidRPr="00B677A8" w:rsidP="00B803CB" w14:paraId="674E24EA" w14:textId="56638E18">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w:t>
            </w:r>
            <w:r w:rsidRPr="00B677A8" w:rsidR="00C11D1F">
              <w:rPr>
                <w:rFonts w:asciiTheme="minorHAnsi" w:hAnsiTheme="minorHAnsi" w:cstheme="minorHAnsi"/>
                <w:bCs/>
                <w:sz w:val="22"/>
                <w:szCs w:val="22"/>
              </w:rPr>
              <w:t xml:space="preserve">10 </w:t>
            </w:r>
            <w:r w:rsidRPr="00B677A8">
              <w:rPr>
                <w:rFonts w:asciiTheme="minorHAnsi" w:hAnsiTheme="minorHAnsi" w:cstheme="minorHAnsi"/>
                <w:bCs/>
                <w:sz w:val="22"/>
                <w:szCs w:val="22"/>
              </w:rPr>
              <w:tab/>
              <w:t xml:space="preserve">Praktické aplikace modelů bezpečného sdílení zdravotních záznamů, uplatnění technologie Blockchain a navazujících konceptů, využití konceptů z oblasti Big Data </w:t>
            </w:r>
          </w:p>
        </w:tc>
        <w:tc>
          <w:tcPr>
            <w:tcW w:w="1984" w:type="dxa"/>
          </w:tcPr>
          <w:p w:rsidR="00514ECA" w:rsidRPr="00B677A8" w:rsidP="00B803CB" w14:paraId="627FAD0C" w14:textId="77777777">
            <w:pPr>
              <w:jc w:val="both"/>
              <w:rPr>
                <w:rFonts w:asciiTheme="minorHAnsi" w:hAnsiTheme="minorHAnsi" w:cstheme="minorHAnsi"/>
                <w:bCs/>
                <w:sz w:val="22"/>
                <w:szCs w:val="22"/>
              </w:rPr>
            </w:pPr>
          </w:p>
        </w:tc>
        <w:tc>
          <w:tcPr>
            <w:tcW w:w="2268" w:type="dxa"/>
          </w:tcPr>
          <w:p w:rsidR="00514ECA" w:rsidRPr="00B677A8" w:rsidP="00B803CB" w14:paraId="762FEE81" w14:textId="3D8CED7D">
            <w:pPr>
              <w:jc w:val="both"/>
              <w:rPr>
                <w:rFonts w:asciiTheme="minorHAnsi" w:hAnsiTheme="minorHAnsi" w:cstheme="minorHAnsi"/>
                <w:bCs/>
                <w:sz w:val="22"/>
                <w:szCs w:val="22"/>
              </w:rPr>
            </w:pPr>
            <w:r w:rsidRPr="00B677A8">
              <w:rPr>
                <w:rFonts w:asciiTheme="minorHAnsi" w:hAnsiTheme="minorHAnsi" w:cstheme="minorHAnsi"/>
                <w:bCs/>
                <w:sz w:val="22"/>
                <w:szCs w:val="22"/>
              </w:rPr>
              <w:t>Implementace moderních nástrojů pro zabezpečení sdílení zdravotních záznamů. Zejména uplatnění moderních modelů na bázi technik Blockchain a konceptů z oblasti Big Data</w:t>
            </w:r>
          </w:p>
          <w:p w:rsidR="00514ECA" w:rsidRPr="00B677A8" w:rsidP="00B803CB" w14:paraId="3BEB0FB5" w14:textId="4E0B6143">
            <w:pPr>
              <w:jc w:val="both"/>
              <w:rPr>
                <w:rFonts w:asciiTheme="minorHAnsi" w:hAnsiTheme="minorHAnsi" w:cstheme="minorHAnsi"/>
                <w:bCs/>
                <w:sz w:val="22"/>
                <w:szCs w:val="22"/>
              </w:rPr>
            </w:pPr>
          </w:p>
        </w:tc>
        <w:tc>
          <w:tcPr>
            <w:tcW w:w="1134" w:type="dxa"/>
          </w:tcPr>
          <w:p w:rsidR="00514ECA" w:rsidRPr="00B677A8" w:rsidP="00B803CB" w14:paraId="0AB4F6E3" w14:textId="229319CA">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1800CD">
              <w:rPr>
                <w:rFonts w:asciiTheme="minorHAnsi" w:hAnsiTheme="minorHAnsi" w:cstheme="minorHAnsi"/>
                <w:bCs/>
                <w:sz w:val="22"/>
                <w:szCs w:val="22"/>
              </w:rPr>
              <w:t>5</w:t>
            </w:r>
          </w:p>
        </w:tc>
        <w:tc>
          <w:tcPr>
            <w:tcW w:w="851" w:type="dxa"/>
          </w:tcPr>
          <w:p w:rsidR="00514ECA" w:rsidRPr="00B677A8" w:rsidP="00B803CB" w14:paraId="5B700DD9" w14:textId="2A968587">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3B0C36">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7DF4EC81" w14:textId="5F00FEA2">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(SZ, SE, SL), ÚZIS ČR, vědecká pracoviště, odborné společnosti, centra inovací v medicíně, vysoké školy,</w:t>
            </w:r>
          </w:p>
          <w:p w:rsidR="00514ECA" w:rsidRPr="00B677A8" w:rsidP="00B803CB" w14:paraId="74D01E30" w14:textId="25C1B3B6">
            <w:pPr>
              <w:jc w:val="both"/>
              <w:rPr>
                <w:rFonts w:asciiTheme="minorHAnsi" w:hAnsiTheme="minorHAnsi" w:cstheme="minorHAnsi"/>
                <w:bCs/>
                <w:sz w:val="22"/>
                <w:szCs w:val="22"/>
              </w:rPr>
            </w:pPr>
            <w:r w:rsidRPr="00B677A8">
              <w:rPr>
                <w:rFonts w:asciiTheme="minorHAnsi" w:hAnsiTheme="minorHAnsi" w:cstheme="minorHAnsi"/>
                <w:bCs/>
                <w:sz w:val="22"/>
                <w:szCs w:val="22"/>
              </w:rPr>
              <w:t>pacientské organizace, zdravotní pojišťovny</w:t>
            </w:r>
            <w:r w:rsidRPr="00B677A8" w:rsidR="003515C3">
              <w:rPr>
                <w:rFonts w:asciiTheme="minorHAnsi" w:hAnsiTheme="minorHAnsi" w:cstheme="minorHAnsi"/>
                <w:bCs/>
                <w:sz w:val="22"/>
                <w:szCs w:val="22"/>
              </w:rPr>
              <w:t>,</w:t>
            </w:r>
            <w:r w:rsidRPr="00B677A8">
              <w:rPr>
                <w:rFonts w:asciiTheme="minorHAnsi" w:hAnsiTheme="minorHAnsi" w:cstheme="minorHAnsi"/>
                <w:bCs/>
                <w:sz w:val="22"/>
                <w:szCs w:val="22"/>
              </w:rPr>
              <w:t xml:space="preserve"> MPO</w:t>
            </w:r>
            <w:r w:rsidRPr="00B677A8" w:rsidR="003515C3">
              <w:rPr>
                <w:rFonts w:asciiTheme="minorHAnsi" w:hAnsiTheme="minorHAnsi" w:cstheme="minorHAnsi"/>
                <w:bCs/>
                <w:sz w:val="22"/>
                <w:szCs w:val="22"/>
              </w:rPr>
              <w:t>.</w:t>
            </w:r>
          </w:p>
        </w:tc>
        <w:tc>
          <w:tcPr>
            <w:tcW w:w="2977" w:type="dxa"/>
          </w:tcPr>
          <w:p w:rsidR="00514ECA" w:rsidRPr="00B677A8" w:rsidP="00B803CB" w14:paraId="62C136C0" w14:textId="59DA4A10">
            <w:pPr>
              <w:jc w:val="both"/>
              <w:rPr>
                <w:rFonts w:asciiTheme="minorHAnsi" w:hAnsiTheme="minorHAnsi" w:cstheme="minorHAnsi"/>
                <w:bCs/>
                <w:sz w:val="22"/>
                <w:szCs w:val="22"/>
              </w:rPr>
            </w:pPr>
            <w:r w:rsidRPr="00B677A8">
              <w:rPr>
                <w:rFonts w:asciiTheme="minorHAnsi" w:hAnsiTheme="minorHAnsi" w:cstheme="minorHAnsi"/>
                <w:bCs/>
                <w:sz w:val="22"/>
                <w:szCs w:val="22"/>
              </w:rPr>
              <w:t>Plnění opatření aktuálně probíhá</w:t>
            </w:r>
            <w:r w:rsidRPr="00B677A8" w:rsidR="005306B2">
              <w:rPr>
                <w:rFonts w:asciiTheme="minorHAnsi" w:hAnsiTheme="minorHAnsi" w:cstheme="minorHAnsi"/>
                <w:bCs/>
                <w:sz w:val="22"/>
                <w:szCs w:val="22"/>
              </w:rPr>
              <w:t xml:space="preserve"> dílčím způsobem</w:t>
            </w:r>
            <w:r w:rsidRPr="00B677A8">
              <w:rPr>
                <w:rFonts w:asciiTheme="minorHAnsi" w:hAnsiTheme="minorHAnsi" w:cstheme="minorHAnsi"/>
                <w:bCs/>
                <w:sz w:val="22"/>
                <w:szCs w:val="22"/>
              </w:rPr>
              <w:t>. Zvažována jsou alternativní řešení.</w:t>
            </w:r>
          </w:p>
          <w:p w:rsidR="002143E7" w:rsidRPr="00B677A8" w:rsidP="00B803CB" w14:paraId="6F2307E7" w14:textId="02656015">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ÚZIS </w:t>
            </w:r>
            <w:r w:rsidRPr="00B677A8" w:rsidR="000D3759">
              <w:rPr>
                <w:rFonts w:asciiTheme="minorHAnsi" w:hAnsiTheme="minorHAnsi" w:cstheme="minorHAnsi"/>
                <w:bCs/>
                <w:sz w:val="22"/>
                <w:szCs w:val="22"/>
              </w:rPr>
              <w:t>Č</w:t>
            </w:r>
            <w:r w:rsidRPr="00B677A8">
              <w:rPr>
                <w:rFonts w:asciiTheme="minorHAnsi" w:hAnsiTheme="minorHAnsi" w:cstheme="minorHAnsi"/>
                <w:bCs/>
                <w:sz w:val="22"/>
                <w:szCs w:val="22"/>
              </w:rPr>
              <w:t xml:space="preserve">R připravil a na bázi studie proveditelnosti implementoval (po recenzním řízení a se schválením vedení DIA) resortní koncepci pro sdílení a otevírání centrálních dat resortu. Tím je </w:t>
            </w:r>
            <w:r w:rsidRPr="00B677A8" w:rsidR="00D62076">
              <w:rPr>
                <w:rFonts w:asciiTheme="minorHAnsi" w:hAnsiTheme="minorHAnsi" w:cstheme="minorHAnsi"/>
                <w:bCs/>
                <w:sz w:val="22"/>
                <w:szCs w:val="22"/>
              </w:rPr>
              <w:t>implementována</w:t>
            </w:r>
            <w:r w:rsidRPr="00B677A8">
              <w:rPr>
                <w:rFonts w:asciiTheme="minorHAnsi" w:hAnsiTheme="minorHAnsi" w:cstheme="minorHAnsi"/>
                <w:bCs/>
                <w:sz w:val="22"/>
                <w:szCs w:val="22"/>
              </w:rPr>
              <w:t xml:space="preserve"> i datová základna podporující další rozvoj moderních technologií na bázi strojového učení, AI. Otevíraná data jsou zároveň připravována v režimu umožňujícím další rozvoj výzkumu v dané oblasti.</w:t>
            </w:r>
          </w:p>
        </w:tc>
        <w:tc>
          <w:tcPr>
            <w:tcW w:w="3260" w:type="dxa"/>
          </w:tcPr>
          <w:p w:rsidR="00514ECA" w:rsidRPr="00B677A8" w:rsidP="00B803CB" w14:paraId="1AA6C376" w14:textId="58504C11">
            <w:pPr>
              <w:jc w:val="both"/>
              <w:rPr>
                <w:rFonts w:asciiTheme="minorHAnsi" w:hAnsiTheme="minorHAnsi" w:cstheme="minorHAnsi"/>
                <w:bCs/>
                <w:sz w:val="22"/>
                <w:szCs w:val="22"/>
              </w:rPr>
            </w:pPr>
            <w:r w:rsidRPr="00B677A8">
              <w:rPr>
                <w:rFonts w:asciiTheme="minorHAnsi" w:hAnsiTheme="minorHAnsi" w:cstheme="minorHAnsi"/>
                <w:bCs/>
                <w:sz w:val="22"/>
                <w:szCs w:val="22"/>
              </w:rPr>
              <w:t>Kontinuálně rozvíjet v návaznosti na rozvoj datové základny resortu.</w:t>
            </w:r>
          </w:p>
        </w:tc>
      </w:tr>
      <w:tr w14:paraId="0036662B" w14:textId="0AA53D8B" w:rsidTr="00F53A99">
        <w:tblPrEx>
          <w:tblW w:w="15451" w:type="dxa"/>
          <w:tblInd w:w="-147" w:type="dxa"/>
          <w:tblLayout w:type="fixed"/>
          <w:tblCellMar>
            <w:left w:w="70" w:type="dxa"/>
            <w:right w:w="70" w:type="dxa"/>
          </w:tblCellMar>
          <w:tblLook w:val="0000"/>
        </w:tblPrEx>
        <w:trPr>
          <w:trHeight w:val="847"/>
        </w:trPr>
        <w:tc>
          <w:tcPr>
            <w:tcW w:w="1560" w:type="dxa"/>
            <w:vMerge/>
          </w:tcPr>
          <w:p w:rsidR="00514ECA" w:rsidRPr="00B677A8" w:rsidP="00B803CB" w14:paraId="415764A3" w14:textId="77777777">
            <w:pPr>
              <w:ind w:left="-38"/>
              <w:jc w:val="both"/>
              <w:rPr>
                <w:rFonts w:asciiTheme="minorHAnsi" w:hAnsiTheme="minorHAnsi" w:cstheme="minorHAnsi"/>
                <w:bCs/>
                <w:sz w:val="22"/>
                <w:szCs w:val="22"/>
              </w:rPr>
            </w:pPr>
          </w:p>
        </w:tc>
        <w:tc>
          <w:tcPr>
            <w:tcW w:w="1984" w:type="dxa"/>
          </w:tcPr>
          <w:p w:rsidR="00514ECA" w:rsidRPr="00B677A8" w:rsidP="00B803CB" w14:paraId="4D12FEDF" w14:textId="77777777">
            <w:pPr>
              <w:jc w:val="both"/>
              <w:rPr>
                <w:rFonts w:asciiTheme="minorHAnsi" w:hAnsiTheme="minorHAnsi" w:cstheme="minorHAnsi"/>
                <w:bCs/>
                <w:color w:val="000000" w:themeColor="text1"/>
                <w:sz w:val="22"/>
                <w:szCs w:val="22"/>
              </w:rPr>
            </w:pPr>
          </w:p>
        </w:tc>
        <w:tc>
          <w:tcPr>
            <w:tcW w:w="2268" w:type="dxa"/>
          </w:tcPr>
          <w:p w:rsidR="00514ECA" w:rsidRPr="00B677A8" w:rsidP="00B803CB" w14:paraId="50BC8C24" w14:textId="571EA0FD">
            <w:pPr>
              <w:jc w:val="both"/>
              <w:rPr>
                <w:rFonts w:asciiTheme="minorHAnsi" w:hAnsiTheme="minorHAnsi" w:cstheme="minorHAnsi"/>
                <w:bCs/>
                <w:sz w:val="22"/>
                <w:szCs w:val="22"/>
              </w:rPr>
            </w:pPr>
            <w:r w:rsidRPr="00B677A8">
              <w:rPr>
                <w:rFonts w:asciiTheme="minorHAnsi" w:hAnsiTheme="minorHAnsi" w:cstheme="minorHAnsi"/>
                <w:bCs/>
                <w:color w:val="000000" w:themeColor="text1"/>
                <w:sz w:val="22"/>
                <w:szCs w:val="22"/>
              </w:rPr>
              <w:t xml:space="preserve">Zapojení ČR do mezinárodní spolupráce v </w:t>
            </w:r>
            <w:r w:rsidRPr="00B677A8">
              <w:rPr>
                <w:rFonts w:asciiTheme="minorHAnsi" w:hAnsiTheme="minorHAnsi" w:cstheme="minorHAnsi"/>
                <w:bCs/>
                <w:color w:val="000000" w:themeColor="text1"/>
                <w:sz w:val="22"/>
                <w:szCs w:val="22"/>
              </w:rPr>
              <w:t xml:space="preserve">uvedených oblastech (Opatření 1). Propagace nových technologií a dobré praxe v jejich aplikaci </w:t>
            </w:r>
          </w:p>
        </w:tc>
        <w:tc>
          <w:tcPr>
            <w:tcW w:w="1134" w:type="dxa"/>
          </w:tcPr>
          <w:p w:rsidR="00514ECA" w:rsidRPr="00B677A8" w:rsidP="00B803CB" w14:paraId="7E6FDC6F" w14:textId="789E2090">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1800CD">
              <w:rPr>
                <w:rFonts w:asciiTheme="minorHAnsi" w:hAnsiTheme="minorHAnsi" w:cstheme="minorHAnsi"/>
                <w:bCs/>
                <w:sz w:val="22"/>
                <w:szCs w:val="22"/>
              </w:rPr>
              <w:t>5</w:t>
            </w:r>
          </w:p>
        </w:tc>
        <w:tc>
          <w:tcPr>
            <w:tcW w:w="851" w:type="dxa"/>
          </w:tcPr>
          <w:p w:rsidR="00514ECA" w:rsidRPr="00B677A8" w:rsidP="00B803CB" w14:paraId="24689A5E" w14:textId="03C26305">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0D3759">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291AB235" w14:textId="6CEC961B">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 </w:t>
            </w:r>
            <w:r w:rsidRPr="00B677A8" w:rsidR="008C6210">
              <w:rPr>
                <w:rFonts w:asciiTheme="minorHAnsi" w:hAnsiTheme="minorHAnsi" w:cstheme="minorHAnsi"/>
                <w:bCs/>
                <w:sz w:val="22"/>
                <w:szCs w:val="22"/>
              </w:rPr>
              <w:t>MZD</w:t>
            </w:r>
            <w:r w:rsidRPr="00B677A8">
              <w:rPr>
                <w:rFonts w:asciiTheme="minorHAnsi" w:hAnsiTheme="minorHAnsi" w:cstheme="minorHAnsi"/>
                <w:bCs/>
                <w:sz w:val="22"/>
                <w:szCs w:val="22"/>
              </w:rPr>
              <w:t xml:space="preserve"> (SZ, SE, SL), ÚZIS ČR, ČVUT, </w:t>
            </w:r>
            <w:r w:rsidRPr="00B677A8">
              <w:rPr>
                <w:rFonts w:asciiTheme="minorHAnsi" w:hAnsiTheme="minorHAnsi" w:cstheme="minorHAnsi"/>
                <w:bCs/>
                <w:sz w:val="22"/>
                <w:szCs w:val="22"/>
              </w:rPr>
              <w:t>Univerzita Karlova, Masarykova Univerzita, MPO, zdravotní pojišťovny</w:t>
            </w:r>
          </w:p>
          <w:p w:rsidR="00514ECA" w:rsidRPr="00B677A8" w:rsidP="00B803CB" w14:paraId="5BF6CE5B" w14:textId="34352C86">
            <w:pPr>
              <w:jc w:val="both"/>
              <w:rPr>
                <w:rFonts w:asciiTheme="minorHAnsi" w:hAnsiTheme="minorHAnsi" w:cstheme="minorHAnsi"/>
                <w:bCs/>
                <w:sz w:val="22"/>
                <w:szCs w:val="22"/>
              </w:rPr>
            </w:pPr>
          </w:p>
        </w:tc>
        <w:tc>
          <w:tcPr>
            <w:tcW w:w="2977" w:type="dxa"/>
          </w:tcPr>
          <w:p w:rsidR="00514ECA" w:rsidRPr="00B677A8" w:rsidP="00B803CB" w14:paraId="26575A78" w14:textId="04ECDCA9">
            <w:pPr>
              <w:jc w:val="both"/>
              <w:rPr>
                <w:rFonts w:asciiTheme="minorHAnsi" w:hAnsiTheme="minorHAnsi" w:cstheme="minorHAnsi"/>
                <w:bCs/>
                <w:sz w:val="22"/>
                <w:szCs w:val="22"/>
              </w:rPr>
            </w:pPr>
            <w:r w:rsidRPr="00B677A8">
              <w:rPr>
                <w:rFonts w:asciiTheme="minorHAnsi" w:hAnsiTheme="minorHAnsi" w:cstheme="minorHAnsi"/>
                <w:bCs/>
                <w:sz w:val="22"/>
                <w:szCs w:val="22"/>
              </w:rPr>
              <w:t>Plnění opatření aktuálně neprobíhá. Zvažována jsou alternativní řešení.</w:t>
            </w:r>
          </w:p>
        </w:tc>
        <w:tc>
          <w:tcPr>
            <w:tcW w:w="3260" w:type="dxa"/>
          </w:tcPr>
          <w:p w:rsidR="00514ECA" w:rsidRPr="00B677A8" w:rsidP="00B803CB" w14:paraId="0036AF67" w14:textId="6FE9DF8B">
            <w:pPr>
              <w:jc w:val="both"/>
              <w:rPr>
                <w:rFonts w:asciiTheme="minorHAnsi" w:hAnsiTheme="minorHAnsi" w:cstheme="minorHAnsi"/>
                <w:bCs/>
                <w:sz w:val="22"/>
                <w:szCs w:val="22"/>
              </w:rPr>
            </w:pPr>
            <w:r w:rsidRPr="00B677A8">
              <w:rPr>
                <w:rFonts w:asciiTheme="minorHAnsi" w:hAnsiTheme="minorHAnsi" w:cstheme="minorHAnsi"/>
                <w:bCs/>
                <w:sz w:val="22"/>
                <w:szCs w:val="22"/>
              </w:rPr>
              <w:t>Zadání trvá, realizovat</w:t>
            </w:r>
            <w:r w:rsidRPr="00B677A8" w:rsidR="001800CD">
              <w:rPr>
                <w:rFonts w:asciiTheme="minorHAnsi" w:hAnsiTheme="minorHAnsi" w:cstheme="minorHAnsi"/>
                <w:bCs/>
                <w:sz w:val="22"/>
                <w:szCs w:val="22"/>
              </w:rPr>
              <w:t xml:space="preserve"> v návaznosti na rozvoj mezinárodní aktivity v uvedených oblastech v EU.</w:t>
            </w:r>
          </w:p>
        </w:tc>
      </w:tr>
      <w:tr w14:paraId="5E2A1AE8" w14:textId="4CF3B4D8" w:rsidTr="00F53A99">
        <w:tblPrEx>
          <w:tblW w:w="15451" w:type="dxa"/>
          <w:tblInd w:w="-147" w:type="dxa"/>
          <w:tblLayout w:type="fixed"/>
          <w:tblCellMar>
            <w:left w:w="70" w:type="dxa"/>
            <w:right w:w="70" w:type="dxa"/>
          </w:tblCellMar>
          <w:tblLook w:val="0000"/>
        </w:tblPrEx>
        <w:trPr>
          <w:trHeight w:val="847"/>
        </w:trPr>
        <w:tc>
          <w:tcPr>
            <w:tcW w:w="1560" w:type="dxa"/>
          </w:tcPr>
          <w:p w:rsidR="00514ECA" w:rsidRPr="00B677A8" w:rsidP="00B803CB" w14:paraId="6272338B" w14:textId="7932D844">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w:t>
            </w:r>
            <w:r w:rsidRPr="00B677A8" w:rsidR="00C11D1F">
              <w:rPr>
                <w:rFonts w:asciiTheme="minorHAnsi" w:hAnsiTheme="minorHAnsi" w:cstheme="minorHAnsi"/>
                <w:bCs/>
                <w:sz w:val="22"/>
                <w:szCs w:val="22"/>
              </w:rPr>
              <w:t>1</w:t>
            </w:r>
            <w:r w:rsidRPr="00B677A8">
              <w:rPr>
                <w:rFonts w:asciiTheme="minorHAnsi" w:hAnsiTheme="minorHAnsi" w:cstheme="minorHAnsi"/>
                <w:bCs/>
                <w:sz w:val="22"/>
                <w:szCs w:val="22"/>
              </w:rPr>
              <w:t xml:space="preserve"> Podpora technologií mobilního zdravotnictví (mHealth) a telemedicíny na všech úrovních poskytování zdravotní péče</w:t>
            </w:r>
          </w:p>
        </w:tc>
        <w:tc>
          <w:tcPr>
            <w:tcW w:w="1984" w:type="dxa"/>
          </w:tcPr>
          <w:p w:rsidR="00514ECA" w:rsidRPr="00B677A8" w:rsidP="00B803CB" w14:paraId="679FDB0B" w14:textId="77777777">
            <w:pPr>
              <w:jc w:val="both"/>
              <w:rPr>
                <w:rFonts w:asciiTheme="minorHAnsi" w:hAnsiTheme="minorHAnsi" w:cstheme="minorHAnsi"/>
                <w:bCs/>
                <w:sz w:val="22"/>
                <w:szCs w:val="22"/>
              </w:rPr>
            </w:pPr>
          </w:p>
        </w:tc>
        <w:tc>
          <w:tcPr>
            <w:tcW w:w="2268" w:type="dxa"/>
          </w:tcPr>
          <w:p w:rsidR="00514ECA" w:rsidRPr="00B677A8" w:rsidP="00B803CB" w14:paraId="7959BE95" w14:textId="6CC89F9A">
            <w:pPr>
              <w:jc w:val="both"/>
              <w:rPr>
                <w:rFonts w:asciiTheme="minorHAnsi" w:hAnsiTheme="minorHAnsi" w:cstheme="minorHAnsi"/>
                <w:bCs/>
                <w:sz w:val="22"/>
                <w:szCs w:val="22"/>
              </w:rPr>
            </w:pPr>
            <w:r w:rsidRPr="00B677A8">
              <w:rPr>
                <w:rFonts w:asciiTheme="minorHAnsi" w:hAnsiTheme="minorHAnsi" w:cstheme="minorHAnsi"/>
                <w:bCs/>
                <w:sz w:val="22"/>
                <w:szCs w:val="22"/>
              </w:rPr>
              <w:t>Vytvoření služby/aplikace mHealth a telemedicíny, ověření, aktualizace a realizace Implementačního plánu telemedicína</w:t>
            </w:r>
          </w:p>
          <w:p w:rsidR="00514ECA" w:rsidRPr="00B677A8" w:rsidP="00B803CB" w14:paraId="02F14701" w14:textId="0D8BB286">
            <w:pPr>
              <w:jc w:val="both"/>
              <w:rPr>
                <w:rFonts w:asciiTheme="minorHAnsi" w:hAnsiTheme="minorHAnsi" w:cstheme="minorHAnsi"/>
                <w:bCs/>
                <w:sz w:val="22"/>
                <w:szCs w:val="22"/>
              </w:rPr>
            </w:pPr>
            <w:r w:rsidRPr="00B677A8">
              <w:rPr>
                <w:rFonts w:asciiTheme="minorHAnsi" w:hAnsiTheme="minorHAnsi" w:cstheme="minorHAnsi"/>
                <w:bCs/>
                <w:sz w:val="22"/>
                <w:szCs w:val="22"/>
              </w:rPr>
              <w:t>Pilotní projekty</w:t>
            </w:r>
          </w:p>
          <w:p w:rsidR="00514ECA" w:rsidRPr="00B677A8" w:rsidP="00B803CB" w14:paraId="523050FC" w14:textId="49E490D9">
            <w:pPr>
              <w:jc w:val="both"/>
              <w:rPr>
                <w:rFonts w:asciiTheme="minorHAnsi" w:hAnsiTheme="minorHAnsi" w:cstheme="minorHAnsi"/>
                <w:bCs/>
                <w:sz w:val="22"/>
                <w:szCs w:val="22"/>
              </w:rPr>
            </w:pPr>
          </w:p>
        </w:tc>
        <w:tc>
          <w:tcPr>
            <w:tcW w:w="1134" w:type="dxa"/>
          </w:tcPr>
          <w:p w:rsidR="00514ECA" w:rsidRPr="00B677A8" w:rsidP="00B803CB" w14:paraId="12BBE312" w14:textId="6DDFB31C">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1800CD">
              <w:rPr>
                <w:rFonts w:asciiTheme="minorHAnsi" w:hAnsiTheme="minorHAnsi" w:cstheme="minorHAnsi"/>
                <w:bCs/>
                <w:sz w:val="22"/>
                <w:szCs w:val="22"/>
              </w:rPr>
              <w:t>5</w:t>
            </w:r>
          </w:p>
        </w:tc>
        <w:tc>
          <w:tcPr>
            <w:tcW w:w="851" w:type="dxa"/>
          </w:tcPr>
          <w:p w:rsidR="00514ECA" w:rsidRPr="00B677A8" w:rsidP="00B803CB" w14:paraId="21830BC3" w14:textId="2DAB8E92">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E77E02">
              <w:rPr>
                <w:rFonts w:asciiTheme="minorHAnsi" w:hAnsiTheme="minorHAnsi" w:cstheme="minorHAnsi"/>
                <w:bCs/>
                <w:sz w:val="22"/>
                <w:szCs w:val="22"/>
              </w:rPr>
              <w:t>/NCEZ</w:t>
            </w:r>
            <w:r w:rsidRPr="00B677A8">
              <w:rPr>
                <w:rFonts w:asciiTheme="minorHAnsi" w:hAnsiTheme="minorHAnsi" w:cstheme="minorHAnsi"/>
                <w:bCs/>
                <w:sz w:val="22"/>
                <w:szCs w:val="22"/>
              </w:rPr>
              <w:t>)</w:t>
            </w:r>
          </w:p>
          <w:p w:rsidR="00514ECA" w:rsidRPr="00B677A8" w:rsidP="00B803CB" w14:paraId="4D02EE19" w14:textId="46F40E99">
            <w:pPr>
              <w:jc w:val="both"/>
              <w:rPr>
                <w:rFonts w:asciiTheme="minorHAnsi" w:hAnsiTheme="minorHAnsi" w:cstheme="minorHAnsi"/>
                <w:bCs/>
                <w:sz w:val="22"/>
                <w:szCs w:val="22"/>
              </w:rPr>
            </w:pPr>
            <w:r w:rsidRPr="00B677A8">
              <w:rPr>
                <w:rFonts w:asciiTheme="minorHAnsi" w:hAnsiTheme="minorHAnsi" w:cstheme="minorHAnsi"/>
                <w:bCs/>
                <w:sz w:val="22"/>
                <w:szCs w:val="22"/>
              </w:rPr>
              <w:t>NTM</w:t>
            </w:r>
            <w:r w:rsidRPr="00B677A8" w:rsidR="00F806BB">
              <w:rPr>
                <w:rFonts w:asciiTheme="minorHAnsi" w:hAnsiTheme="minorHAnsi" w:cstheme="minorHAnsi"/>
                <w:bCs/>
                <w:sz w:val="22"/>
                <w:szCs w:val="22"/>
              </w:rPr>
              <w:t>C</w:t>
            </w:r>
            <w:r w:rsidRPr="00B677A8">
              <w:rPr>
                <w:rFonts w:asciiTheme="minorHAnsi" w:hAnsiTheme="minorHAnsi" w:cstheme="minorHAnsi"/>
                <w:bCs/>
                <w:sz w:val="22"/>
                <w:szCs w:val="22"/>
              </w:rPr>
              <w:t xml:space="preserve"> (FNOL)</w:t>
            </w:r>
          </w:p>
        </w:tc>
        <w:tc>
          <w:tcPr>
            <w:tcW w:w="1417" w:type="dxa"/>
          </w:tcPr>
          <w:p w:rsidR="00514ECA" w:rsidRPr="00B677A8" w:rsidP="00B803CB" w14:paraId="4456DDB9" w14:textId="460A272C">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(SZ, SL, SE), přímo řízené organizace, poskytovatelé zdravotních a sociálních služeb, odborné společnosti, vysoké školy</w:t>
            </w:r>
          </w:p>
          <w:p w:rsidR="00514ECA" w:rsidRPr="00B677A8" w:rsidP="00B803CB" w14:paraId="047516A5" w14:textId="04FB8CD9">
            <w:pPr>
              <w:jc w:val="both"/>
              <w:rPr>
                <w:rFonts w:asciiTheme="minorHAnsi" w:hAnsiTheme="minorHAnsi" w:cstheme="minorHAnsi"/>
                <w:bCs/>
                <w:sz w:val="22"/>
                <w:szCs w:val="22"/>
              </w:rPr>
            </w:pPr>
            <w:r w:rsidRPr="00B677A8">
              <w:rPr>
                <w:rFonts w:asciiTheme="minorHAnsi" w:hAnsiTheme="minorHAnsi" w:cstheme="minorHAnsi"/>
                <w:bCs/>
                <w:sz w:val="22"/>
                <w:szCs w:val="22"/>
              </w:rPr>
              <w:t>pacientské organizace, zdravotní pojišťovny</w:t>
            </w:r>
          </w:p>
        </w:tc>
        <w:tc>
          <w:tcPr>
            <w:tcW w:w="2977" w:type="dxa"/>
          </w:tcPr>
          <w:p w:rsidR="00514ECA" w:rsidRPr="00B677A8" w:rsidP="00B803CB" w14:paraId="0DD9EB3B"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projektu realizovaného Kompetenčním centrem pro telemedicínu FNOL v letech 2023-2025</w:t>
            </w:r>
          </w:p>
          <w:p w:rsidR="00514ECA" w:rsidRPr="00B677A8" w:rsidP="00B803CB" w14:paraId="1AF25817" w14:textId="7C21F3DF">
            <w:pPr>
              <w:jc w:val="both"/>
              <w:rPr>
                <w:rFonts w:asciiTheme="minorHAnsi" w:hAnsiTheme="minorHAnsi" w:cstheme="minorHAnsi"/>
                <w:bCs/>
                <w:sz w:val="22"/>
                <w:szCs w:val="22"/>
              </w:rPr>
            </w:pPr>
            <w:r w:rsidRPr="00B677A8">
              <w:rPr>
                <w:rStyle w:val="cf01"/>
                <w:rFonts w:asciiTheme="minorHAnsi" w:hAnsiTheme="minorHAnsi" w:cstheme="minorHAnsi"/>
                <w:bCs/>
                <w:sz w:val="22"/>
                <w:szCs w:val="22"/>
              </w:rPr>
              <w:t>Naplňován rovněž účastí zástupců ČR v eHN, COP EHDS2, EHDS Board a dalšími EU a světových forech.</w:t>
            </w:r>
          </w:p>
        </w:tc>
        <w:tc>
          <w:tcPr>
            <w:tcW w:w="3260" w:type="dxa"/>
          </w:tcPr>
          <w:p w:rsidR="00514ECA" w:rsidRPr="00B677A8" w:rsidP="00B803CB" w14:paraId="3C6DA5AD" w14:textId="1F181D0C">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Do roku 2035 zajistit implementaci a udržitelnost výstupů </w:t>
            </w:r>
            <w:r w:rsidRPr="00B677A8" w:rsidR="001F1161">
              <w:rPr>
                <w:rFonts w:asciiTheme="minorHAnsi" w:hAnsiTheme="minorHAnsi" w:cstheme="minorHAnsi"/>
                <w:bCs/>
                <w:sz w:val="22"/>
                <w:szCs w:val="22"/>
              </w:rPr>
              <w:t xml:space="preserve">uvedených </w:t>
            </w:r>
            <w:r w:rsidRPr="00B677A8">
              <w:rPr>
                <w:rFonts w:asciiTheme="minorHAnsi" w:hAnsiTheme="minorHAnsi" w:cstheme="minorHAnsi"/>
                <w:bCs/>
                <w:sz w:val="22"/>
                <w:szCs w:val="22"/>
              </w:rPr>
              <w:t>projektů</w:t>
            </w:r>
          </w:p>
        </w:tc>
      </w:tr>
      <w:tr w14:paraId="4E81BAE5" w14:textId="5579B297" w:rsidTr="00F53A99">
        <w:tblPrEx>
          <w:tblW w:w="15451" w:type="dxa"/>
          <w:tblInd w:w="-147" w:type="dxa"/>
          <w:tblLayout w:type="fixed"/>
          <w:tblCellMar>
            <w:left w:w="70" w:type="dxa"/>
            <w:right w:w="70" w:type="dxa"/>
          </w:tblCellMar>
          <w:tblLook w:val="0000"/>
        </w:tblPrEx>
        <w:trPr>
          <w:trHeight w:val="847"/>
        </w:trPr>
        <w:tc>
          <w:tcPr>
            <w:tcW w:w="1560" w:type="dxa"/>
          </w:tcPr>
          <w:p w:rsidR="00514ECA" w:rsidRPr="00B677A8" w:rsidP="00B803CB" w14:paraId="1F01A5E1" w14:textId="4AD874BD">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w:t>
            </w:r>
            <w:r w:rsidRPr="00B677A8" w:rsidR="00C11D1F">
              <w:rPr>
                <w:rFonts w:asciiTheme="minorHAnsi" w:hAnsiTheme="minorHAnsi" w:cstheme="minorHAnsi"/>
                <w:bCs/>
                <w:sz w:val="22"/>
                <w:szCs w:val="22"/>
              </w:rPr>
              <w:t>2</w:t>
            </w:r>
          </w:p>
          <w:p w:rsidR="00514ECA" w:rsidRPr="00B677A8" w:rsidP="00B803CB" w14:paraId="10572B19" w14:textId="1D457CA9">
            <w:pPr>
              <w:ind w:left="-38"/>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platforem pro </w:t>
            </w:r>
            <w:r w:rsidRPr="00B677A8">
              <w:rPr>
                <w:rFonts w:asciiTheme="minorHAnsi" w:hAnsiTheme="minorHAnsi" w:cstheme="minorHAnsi"/>
                <w:bCs/>
                <w:sz w:val="22"/>
                <w:szCs w:val="22"/>
              </w:rPr>
              <w:t>komunikaci a koordinaci veřejné správy, průmyslu a akademické sféry pro účely rozvoje digitálních služeb ve zdravotnictví a v péči o zdraví</w:t>
            </w:r>
          </w:p>
        </w:tc>
        <w:tc>
          <w:tcPr>
            <w:tcW w:w="1984" w:type="dxa"/>
          </w:tcPr>
          <w:p w:rsidR="00514ECA" w:rsidRPr="00B677A8" w:rsidP="00B803CB" w14:paraId="5DD5E9E5" w14:textId="77777777">
            <w:pPr>
              <w:jc w:val="both"/>
              <w:rPr>
                <w:rFonts w:asciiTheme="minorHAnsi" w:hAnsiTheme="minorHAnsi" w:cstheme="minorHAnsi"/>
                <w:bCs/>
                <w:sz w:val="22"/>
                <w:szCs w:val="22"/>
              </w:rPr>
            </w:pPr>
          </w:p>
        </w:tc>
        <w:tc>
          <w:tcPr>
            <w:tcW w:w="2268" w:type="dxa"/>
          </w:tcPr>
          <w:p w:rsidR="00514ECA" w:rsidRPr="00B677A8" w:rsidP="00B803CB" w14:paraId="1BB3C215" w14:textId="7AA317D3">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Vytvoření a rozvoj nástrojů pro podporu koordinovaného </w:t>
            </w:r>
            <w:r w:rsidRPr="00B677A8">
              <w:rPr>
                <w:rFonts w:asciiTheme="minorHAnsi" w:hAnsiTheme="minorHAnsi" w:cstheme="minorHAnsi"/>
                <w:bCs/>
                <w:sz w:val="22"/>
                <w:szCs w:val="22"/>
              </w:rPr>
              <w:t>rozvoje platforem v oblasti digitalizace zdravotnictví</w:t>
            </w:r>
          </w:p>
          <w:p w:rsidR="00514ECA" w:rsidRPr="00B677A8" w:rsidP="00B803CB" w14:paraId="026DF60E" w14:textId="77777777">
            <w:pPr>
              <w:jc w:val="both"/>
              <w:rPr>
                <w:rFonts w:asciiTheme="minorHAnsi" w:hAnsiTheme="minorHAnsi" w:cstheme="minorHAnsi"/>
                <w:bCs/>
                <w:sz w:val="22"/>
                <w:szCs w:val="22"/>
              </w:rPr>
            </w:pPr>
          </w:p>
          <w:p w:rsidR="00514ECA" w:rsidRPr="00B677A8" w:rsidP="00B803CB" w14:paraId="7B1D185F" w14:textId="4CB64F8B">
            <w:pPr>
              <w:jc w:val="both"/>
              <w:rPr>
                <w:rFonts w:asciiTheme="minorHAnsi" w:hAnsiTheme="minorHAnsi" w:cstheme="minorHAnsi"/>
                <w:bCs/>
                <w:sz w:val="22"/>
                <w:szCs w:val="22"/>
              </w:rPr>
            </w:pPr>
          </w:p>
        </w:tc>
        <w:tc>
          <w:tcPr>
            <w:tcW w:w="1134" w:type="dxa"/>
          </w:tcPr>
          <w:p w:rsidR="00514ECA" w:rsidRPr="00B677A8" w:rsidP="00B803CB" w14:paraId="7FF325E9" w14:textId="283DF08B">
            <w:pPr>
              <w:jc w:val="both"/>
              <w:rPr>
                <w:rFonts w:asciiTheme="minorHAnsi" w:hAnsiTheme="minorHAnsi" w:cstheme="minorHAnsi"/>
                <w:bCs/>
                <w:sz w:val="22"/>
                <w:szCs w:val="22"/>
              </w:rPr>
            </w:pPr>
            <w:r w:rsidRPr="00B677A8">
              <w:rPr>
                <w:rFonts w:asciiTheme="minorHAnsi" w:hAnsiTheme="minorHAnsi" w:cstheme="minorHAnsi"/>
                <w:bCs/>
                <w:sz w:val="22"/>
                <w:szCs w:val="22"/>
              </w:rPr>
              <w:t>2021-203</w:t>
            </w:r>
            <w:r w:rsidRPr="00B677A8" w:rsidR="00F806BB">
              <w:rPr>
                <w:rFonts w:asciiTheme="minorHAnsi" w:hAnsiTheme="minorHAnsi" w:cstheme="minorHAnsi"/>
                <w:bCs/>
                <w:sz w:val="22"/>
                <w:szCs w:val="22"/>
              </w:rPr>
              <w:t>5</w:t>
            </w:r>
          </w:p>
        </w:tc>
        <w:tc>
          <w:tcPr>
            <w:tcW w:w="851" w:type="dxa"/>
          </w:tcPr>
          <w:p w:rsidR="00514ECA" w:rsidRPr="00B677A8" w:rsidP="00B803CB" w14:paraId="2E025315" w14:textId="5ECBEBCF">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E77E02">
              <w:rPr>
                <w:rFonts w:asciiTheme="minorHAnsi" w:hAnsiTheme="minorHAnsi" w:cstheme="minorHAnsi"/>
                <w:bCs/>
                <w:sz w:val="22"/>
                <w:szCs w:val="22"/>
              </w:rPr>
              <w:t>/NCEZ</w:t>
            </w:r>
            <w:r w:rsidRPr="00B677A8">
              <w:rPr>
                <w:rFonts w:asciiTheme="minorHAnsi" w:hAnsiTheme="minorHAnsi" w:cstheme="minorHAnsi"/>
                <w:bCs/>
                <w:sz w:val="22"/>
                <w:szCs w:val="22"/>
              </w:rPr>
              <w:t>)</w:t>
            </w:r>
          </w:p>
        </w:tc>
        <w:tc>
          <w:tcPr>
            <w:tcW w:w="1417" w:type="dxa"/>
          </w:tcPr>
          <w:p w:rsidR="00514ECA" w:rsidRPr="00B677A8" w:rsidP="00B803CB" w14:paraId="2A3A14C9" w14:textId="0302152A">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(SL, SZ, SE) IPVZ, ČLS JEP, IHE Czech </w:t>
            </w:r>
            <w:r w:rsidRPr="00B677A8">
              <w:rPr>
                <w:rFonts w:asciiTheme="minorHAnsi" w:hAnsiTheme="minorHAnsi" w:cstheme="minorHAnsi"/>
                <w:bCs/>
                <w:sz w:val="22"/>
                <w:szCs w:val="22"/>
              </w:rPr>
              <w:t>Republic, vysoké školy, odborné společnosti, přímo řízené organizace</w:t>
            </w:r>
          </w:p>
        </w:tc>
        <w:tc>
          <w:tcPr>
            <w:tcW w:w="2977" w:type="dxa"/>
          </w:tcPr>
          <w:p w:rsidR="00514ECA" w:rsidRPr="00B677A8" w:rsidP="00B803CB" w14:paraId="02575863" w14:textId="6B7DA9C9">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projektu</w:t>
            </w:r>
            <w:r w:rsidRPr="00B677A8" w:rsidR="00FB0517">
              <w:rPr>
                <w:rFonts w:asciiTheme="minorHAnsi" w:hAnsiTheme="minorHAnsi" w:cstheme="minorHAnsi"/>
                <w:bCs/>
                <w:sz w:val="22"/>
                <w:szCs w:val="22"/>
              </w:rPr>
              <w:t xml:space="preserve"> Národní centrum </w:t>
            </w:r>
            <w:r w:rsidRPr="00B677A8" w:rsidR="00FB0517">
              <w:rPr>
                <w:rFonts w:asciiTheme="minorHAnsi" w:hAnsiTheme="minorHAnsi" w:cstheme="minorHAnsi"/>
                <w:bCs/>
                <w:sz w:val="22"/>
                <w:szCs w:val="22"/>
              </w:rPr>
              <w:t>elektronického zdravotnictví NPO</w:t>
            </w:r>
            <w:r w:rsidRPr="00B677A8" w:rsidR="0076662F">
              <w:rPr>
                <w:rFonts w:asciiTheme="minorHAnsi" w:hAnsiTheme="minorHAnsi" w:cstheme="minorHAnsi"/>
                <w:bCs/>
                <w:sz w:val="22"/>
                <w:szCs w:val="22"/>
              </w:rPr>
              <w:t>.</w:t>
            </w:r>
          </w:p>
          <w:p w:rsidR="00514ECA" w:rsidRPr="00B677A8" w:rsidP="00B803CB" w14:paraId="113C39CA" w14:textId="2F44158F">
            <w:pPr>
              <w:jc w:val="both"/>
              <w:rPr>
                <w:rFonts w:asciiTheme="minorHAnsi" w:hAnsiTheme="minorHAnsi" w:cstheme="minorHAnsi"/>
                <w:bCs/>
                <w:sz w:val="22"/>
                <w:szCs w:val="22"/>
              </w:rPr>
            </w:pPr>
          </w:p>
        </w:tc>
        <w:tc>
          <w:tcPr>
            <w:tcW w:w="3260" w:type="dxa"/>
          </w:tcPr>
          <w:p w:rsidR="00514ECA" w:rsidRPr="00B677A8" w:rsidP="00B803CB" w14:paraId="38C53567" w14:textId="0623B2BD">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Do 2035 zajistit udržitelnost po skončení projektů NPO. </w:t>
            </w:r>
          </w:p>
        </w:tc>
      </w:tr>
      <w:tr w14:paraId="27F1A0CB" w14:textId="009E9580" w:rsidTr="00F53A99">
        <w:tblPrEx>
          <w:tblW w:w="15451" w:type="dxa"/>
          <w:tblInd w:w="-147" w:type="dxa"/>
          <w:tblLayout w:type="fixed"/>
          <w:tblCellMar>
            <w:left w:w="70" w:type="dxa"/>
            <w:right w:w="70" w:type="dxa"/>
          </w:tblCellMar>
          <w:tblLook w:val="0000"/>
        </w:tblPrEx>
        <w:trPr>
          <w:trHeight w:val="847"/>
        </w:trPr>
        <w:tc>
          <w:tcPr>
            <w:tcW w:w="1560" w:type="dxa"/>
            <w:vMerge w:val="restart"/>
          </w:tcPr>
          <w:p w:rsidR="00514ECA" w:rsidRPr="00B677A8" w:rsidP="00B803CB" w14:paraId="61EBCC17" w14:textId="2FF76600">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w:t>
            </w:r>
            <w:r w:rsidRPr="00B677A8" w:rsidR="00C11D1F">
              <w:rPr>
                <w:rFonts w:asciiTheme="minorHAnsi" w:hAnsiTheme="minorHAnsi" w:cstheme="minorHAnsi"/>
                <w:bCs/>
                <w:sz w:val="22"/>
                <w:szCs w:val="22"/>
              </w:rPr>
              <w:t>3</w:t>
            </w:r>
            <w:r w:rsidRPr="00B677A8">
              <w:rPr>
                <w:rFonts w:asciiTheme="minorHAnsi" w:hAnsiTheme="minorHAnsi" w:cstheme="minorHAnsi"/>
                <w:bCs/>
                <w:sz w:val="22"/>
                <w:szCs w:val="22"/>
              </w:rPr>
              <w:t xml:space="preserve"> Programy rozvoje obecné i specifické digitální gramotnosti pracovníků ve zdravotnictví</w:t>
            </w:r>
          </w:p>
        </w:tc>
        <w:tc>
          <w:tcPr>
            <w:tcW w:w="1984" w:type="dxa"/>
          </w:tcPr>
          <w:p w:rsidR="00514ECA" w:rsidRPr="00B677A8" w:rsidP="00B803CB" w14:paraId="6D210DDA" w14:textId="77777777">
            <w:pPr>
              <w:jc w:val="both"/>
              <w:rPr>
                <w:rFonts w:asciiTheme="minorHAnsi" w:hAnsiTheme="minorHAnsi" w:cstheme="minorHAnsi"/>
                <w:bCs/>
                <w:sz w:val="22"/>
                <w:szCs w:val="22"/>
              </w:rPr>
            </w:pPr>
          </w:p>
        </w:tc>
        <w:tc>
          <w:tcPr>
            <w:tcW w:w="2268" w:type="dxa"/>
          </w:tcPr>
          <w:p w:rsidR="00514ECA" w:rsidRPr="00B677A8" w:rsidP="00B803CB" w14:paraId="2E017396" w14:textId="727AD3ED">
            <w:pPr>
              <w:jc w:val="both"/>
              <w:rPr>
                <w:rFonts w:asciiTheme="minorHAnsi" w:hAnsiTheme="minorHAnsi" w:cstheme="minorHAnsi"/>
                <w:bCs/>
                <w:sz w:val="22"/>
                <w:szCs w:val="22"/>
              </w:rPr>
            </w:pPr>
            <w:r w:rsidRPr="00B677A8">
              <w:rPr>
                <w:rFonts w:asciiTheme="minorHAnsi" w:hAnsiTheme="minorHAnsi" w:cstheme="minorHAnsi"/>
                <w:bCs/>
                <w:sz w:val="22"/>
                <w:szCs w:val="22"/>
              </w:rPr>
              <w:t>Vypracování systému výuky a vzdělávání pro pracovníky ve zdravotnictví</w:t>
            </w:r>
          </w:p>
        </w:tc>
        <w:tc>
          <w:tcPr>
            <w:tcW w:w="1134" w:type="dxa"/>
          </w:tcPr>
          <w:p w:rsidR="00514ECA" w:rsidRPr="00B677A8" w:rsidP="00B803CB" w14:paraId="7F265D9A" w14:textId="4110E0A5">
            <w:pPr>
              <w:jc w:val="both"/>
              <w:rPr>
                <w:rFonts w:asciiTheme="minorHAnsi" w:hAnsiTheme="minorHAnsi" w:cstheme="minorHAnsi"/>
                <w:bCs/>
                <w:sz w:val="22"/>
                <w:szCs w:val="22"/>
              </w:rPr>
            </w:pPr>
            <w:r w:rsidRPr="00B677A8">
              <w:rPr>
                <w:rFonts w:asciiTheme="minorHAnsi" w:hAnsiTheme="minorHAnsi" w:cstheme="minorHAnsi"/>
                <w:bCs/>
                <w:sz w:val="22"/>
                <w:szCs w:val="22"/>
              </w:rPr>
              <w:t>2021-</w:t>
            </w:r>
            <w:r w:rsidRPr="00B677A8" w:rsidR="00FC1976">
              <w:rPr>
                <w:rFonts w:asciiTheme="minorHAnsi" w:hAnsiTheme="minorHAnsi" w:cstheme="minorHAnsi"/>
                <w:bCs/>
                <w:sz w:val="22"/>
                <w:szCs w:val="22"/>
              </w:rPr>
              <w:t>2026</w:t>
            </w:r>
          </w:p>
        </w:tc>
        <w:tc>
          <w:tcPr>
            <w:tcW w:w="851" w:type="dxa"/>
          </w:tcPr>
          <w:p w:rsidR="00514ECA" w:rsidRPr="00B677A8" w:rsidP="00B803CB" w14:paraId="7DE1DD12" w14:textId="3FC1DE8C">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2E33A0">
              <w:rPr>
                <w:rFonts w:asciiTheme="minorHAnsi" w:hAnsiTheme="minorHAnsi" w:cstheme="minorHAnsi"/>
                <w:bCs/>
                <w:sz w:val="22"/>
                <w:szCs w:val="22"/>
              </w:rPr>
              <w:t>/NCEZ</w:t>
            </w:r>
            <w:r w:rsidRPr="00B677A8">
              <w:rPr>
                <w:rFonts w:asciiTheme="minorHAnsi" w:hAnsiTheme="minorHAnsi" w:cstheme="minorHAnsi"/>
                <w:bCs/>
                <w:sz w:val="22"/>
                <w:szCs w:val="22"/>
              </w:rPr>
              <w:t>), IPVZ</w:t>
            </w:r>
          </w:p>
        </w:tc>
        <w:tc>
          <w:tcPr>
            <w:tcW w:w="1417" w:type="dxa"/>
          </w:tcPr>
          <w:p w:rsidR="00514ECA" w:rsidRPr="00B677A8" w:rsidP="00B803CB" w14:paraId="5CEAECC1" w14:textId="48FA7BA7">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(SL, SZ, SE), IPVZ, NLK, SÚKL, NCO NZO, ÚZIS ČR, přímo řízené organizace </w:t>
            </w:r>
            <w:r w:rsidRPr="00B677A8">
              <w:rPr>
                <w:rFonts w:asciiTheme="minorHAnsi" w:hAnsiTheme="minorHAnsi" w:cstheme="minorHAnsi"/>
                <w:bCs/>
                <w:sz w:val="22"/>
                <w:szCs w:val="22"/>
              </w:rPr>
              <w:t>MZD</w:t>
            </w:r>
            <w:r w:rsidRPr="00B677A8">
              <w:rPr>
                <w:rFonts w:asciiTheme="minorHAnsi" w:hAnsiTheme="minorHAnsi" w:cstheme="minorHAnsi"/>
                <w:bCs/>
                <w:sz w:val="22"/>
                <w:szCs w:val="22"/>
              </w:rPr>
              <w:t>, Vzdělávací centra, vysoké školy</w:t>
            </w:r>
          </w:p>
        </w:tc>
        <w:tc>
          <w:tcPr>
            <w:tcW w:w="2977" w:type="dxa"/>
          </w:tcPr>
          <w:p w:rsidR="00514ECA" w:rsidRPr="00B677A8" w:rsidP="00B803CB" w14:paraId="6BE66FC2"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projektu NPO</w:t>
            </w:r>
          </w:p>
          <w:p w:rsidR="00514ECA" w:rsidRPr="00B677A8" w:rsidP="00B803CB" w14:paraId="3B8993A3" w14:textId="61FBDB39">
            <w:pPr>
              <w:jc w:val="both"/>
              <w:rPr>
                <w:rFonts w:asciiTheme="minorHAnsi" w:hAnsiTheme="minorHAnsi" w:cstheme="minorHAnsi"/>
                <w:bCs/>
                <w:sz w:val="22"/>
                <w:szCs w:val="22"/>
              </w:rPr>
            </w:pPr>
          </w:p>
        </w:tc>
        <w:tc>
          <w:tcPr>
            <w:tcW w:w="3260" w:type="dxa"/>
          </w:tcPr>
          <w:p w:rsidR="00514ECA" w:rsidRPr="00B677A8" w:rsidP="00B803CB" w14:paraId="5EDA043F" w14:textId="430E9D02">
            <w:pPr>
              <w:jc w:val="both"/>
              <w:rPr>
                <w:rFonts w:asciiTheme="minorHAnsi" w:hAnsiTheme="minorHAnsi" w:cstheme="minorHAnsi"/>
                <w:bCs/>
                <w:sz w:val="22"/>
                <w:szCs w:val="22"/>
              </w:rPr>
            </w:pPr>
            <w:r w:rsidRPr="00B677A8">
              <w:rPr>
                <w:rFonts w:asciiTheme="minorHAnsi" w:hAnsiTheme="minorHAnsi" w:cstheme="minorHAnsi"/>
                <w:bCs/>
                <w:sz w:val="22"/>
                <w:szCs w:val="22"/>
              </w:rPr>
              <w:t>Dokončit v</w:t>
            </w:r>
            <w:r w:rsidRPr="00B677A8" w:rsidR="009343F8">
              <w:rPr>
                <w:rFonts w:asciiTheme="minorHAnsi" w:hAnsiTheme="minorHAnsi" w:cstheme="minorHAnsi"/>
                <w:bCs/>
                <w:sz w:val="22"/>
                <w:szCs w:val="22"/>
              </w:rPr>
              <w:t> rámci realizace projektů NPO do roku 2026</w:t>
            </w:r>
            <w:r w:rsidRPr="00B677A8" w:rsidR="00264A52">
              <w:rPr>
                <w:rFonts w:asciiTheme="minorHAnsi" w:hAnsiTheme="minorHAnsi" w:cstheme="minorHAnsi"/>
                <w:bCs/>
                <w:sz w:val="22"/>
                <w:szCs w:val="22"/>
              </w:rPr>
              <w:t>.</w:t>
            </w:r>
          </w:p>
        </w:tc>
      </w:tr>
      <w:tr w14:paraId="3B811A10" w14:textId="6CE1E04B" w:rsidTr="00F53A99">
        <w:tblPrEx>
          <w:tblW w:w="15451" w:type="dxa"/>
          <w:tblInd w:w="-147" w:type="dxa"/>
          <w:tblLayout w:type="fixed"/>
          <w:tblCellMar>
            <w:left w:w="70" w:type="dxa"/>
            <w:right w:w="70" w:type="dxa"/>
          </w:tblCellMar>
          <w:tblLook w:val="0000"/>
        </w:tblPrEx>
        <w:trPr>
          <w:trHeight w:val="847"/>
        </w:trPr>
        <w:tc>
          <w:tcPr>
            <w:tcW w:w="1560" w:type="dxa"/>
            <w:vMerge/>
          </w:tcPr>
          <w:p w:rsidR="00514ECA" w:rsidRPr="00B677A8" w:rsidP="00B803CB" w14:paraId="64A5236C" w14:textId="77777777">
            <w:pPr>
              <w:ind w:left="-38"/>
              <w:jc w:val="both"/>
              <w:rPr>
                <w:rFonts w:asciiTheme="minorHAnsi" w:hAnsiTheme="minorHAnsi" w:cstheme="minorHAnsi"/>
                <w:bCs/>
                <w:sz w:val="22"/>
                <w:szCs w:val="22"/>
              </w:rPr>
            </w:pPr>
          </w:p>
        </w:tc>
        <w:tc>
          <w:tcPr>
            <w:tcW w:w="1984" w:type="dxa"/>
          </w:tcPr>
          <w:p w:rsidR="00514ECA" w:rsidRPr="00B677A8" w:rsidP="00B803CB" w14:paraId="0737961F" w14:textId="77777777">
            <w:pPr>
              <w:jc w:val="both"/>
              <w:rPr>
                <w:rFonts w:asciiTheme="minorHAnsi" w:hAnsiTheme="minorHAnsi" w:cstheme="minorHAnsi"/>
                <w:bCs/>
                <w:sz w:val="22"/>
                <w:szCs w:val="22"/>
              </w:rPr>
            </w:pPr>
          </w:p>
        </w:tc>
        <w:tc>
          <w:tcPr>
            <w:tcW w:w="2268" w:type="dxa"/>
          </w:tcPr>
          <w:p w:rsidR="00514ECA" w:rsidRPr="00B677A8" w:rsidP="00B803CB" w14:paraId="2E4CCCAA" w14:textId="281D4D9F">
            <w:pPr>
              <w:jc w:val="both"/>
              <w:rPr>
                <w:rFonts w:asciiTheme="minorHAnsi" w:hAnsiTheme="minorHAnsi" w:cstheme="minorHAnsi"/>
                <w:bCs/>
                <w:sz w:val="22"/>
                <w:szCs w:val="22"/>
              </w:rPr>
            </w:pPr>
            <w:r w:rsidRPr="00B677A8">
              <w:rPr>
                <w:rFonts w:asciiTheme="minorHAnsi" w:hAnsiTheme="minorHAnsi" w:cstheme="minorHAnsi"/>
                <w:bCs/>
                <w:sz w:val="22"/>
                <w:szCs w:val="22"/>
              </w:rPr>
              <w:t>Realizace systému vzdělávání pro pracovníky ve zdravotnictví vč. E-learningových modulů</w:t>
            </w:r>
          </w:p>
        </w:tc>
        <w:tc>
          <w:tcPr>
            <w:tcW w:w="1134" w:type="dxa"/>
          </w:tcPr>
          <w:p w:rsidR="00514ECA" w:rsidRPr="00B677A8" w:rsidP="00B803CB" w14:paraId="7BB21933" w14:textId="069F6FE4">
            <w:pPr>
              <w:jc w:val="both"/>
              <w:rPr>
                <w:rFonts w:asciiTheme="minorHAnsi" w:hAnsiTheme="minorHAnsi" w:cstheme="minorHAnsi"/>
                <w:bCs/>
                <w:sz w:val="22"/>
                <w:szCs w:val="22"/>
              </w:rPr>
            </w:pPr>
            <w:r w:rsidRPr="00B677A8">
              <w:rPr>
                <w:rFonts w:asciiTheme="minorHAnsi" w:hAnsiTheme="minorHAnsi" w:cstheme="minorHAnsi"/>
                <w:bCs/>
                <w:sz w:val="22"/>
                <w:szCs w:val="22"/>
              </w:rPr>
              <w:t>2023-203</w:t>
            </w:r>
            <w:r w:rsidRPr="00B677A8" w:rsidR="00E77CEF">
              <w:rPr>
                <w:rFonts w:asciiTheme="minorHAnsi" w:hAnsiTheme="minorHAnsi" w:cstheme="minorHAnsi"/>
                <w:bCs/>
                <w:sz w:val="22"/>
                <w:szCs w:val="22"/>
              </w:rPr>
              <w:t>5</w:t>
            </w:r>
          </w:p>
        </w:tc>
        <w:tc>
          <w:tcPr>
            <w:tcW w:w="851" w:type="dxa"/>
          </w:tcPr>
          <w:p w:rsidR="00514ECA" w:rsidRPr="00B677A8" w:rsidP="00B803CB" w14:paraId="7A7DA2E0" w14:textId="6148480C">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DB7CB7">
              <w:rPr>
                <w:rFonts w:asciiTheme="minorHAnsi" w:hAnsiTheme="minorHAnsi" w:cstheme="minorHAnsi"/>
                <w:bCs/>
                <w:sz w:val="22"/>
                <w:szCs w:val="22"/>
              </w:rPr>
              <w:t>/NCEZ</w:t>
            </w:r>
            <w:r w:rsidRPr="00B677A8">
              <w:rPr>
                <w:rFonts w:asciiTheme="minorHAnsi" w:hAnsiTheme="minorHAnsi" w:cstheme="minorHAnsi"/>
                <w:bCs/>
                <w:sz w:val="22"/>
                <w:szCs w:val="22"/>
              </w:rPr>
              <w:t>), IPVZ</w:t>
            </w:r>
          </w:p>
        </w:tc>
        <w:tc>
          <w:tcPr>
            <w:tcW w:w="1417" w:type="dxa"/>
          </w:tcPr>
          <w:p w:rsidR="00514ECA" w:rsidRPr="00B677A8" w:rsidP="00B803CB" w14:paraId="40DE5433" w14:textId="12BAEAA7">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(SL, SZ, SE), IPVZ, NLK, SÚKL, NCO NZO, ÚZIS ČR, přímo řízené </w:t>
            </w:r>
            <w:r w:rsidRPr="00B677A8">
              <w:rPr>
                <w:rFonts w:asciiTheme="minorHAnsi" w:hAnsiTheme="minorHAnsi" w:cstheme="minorHAnsi"/>
                <w:bCs/>
                <w:sz w:val="22"/>
                <w:szCs w:val="22"/>
              </w:rPr>
              <w:t xml:space="preserve">organizace </w:t>
            </w:r>
            <w:r w:rsidRPr="00B677A8">
              <w:rPr>
                <w:rFonts w:asciiTheme="minorHAnsi" w:hAnsiTheme="minorHAnsi" w:cstheme="minorHAnsi"/>
                <w:bCs/>
                <w:sz w:val="22"/>
                <w:szCs w:val="22"/>
              </w:rPr>
              <w:t>MZD</w:t>
            </w:r>
            <w:r w:rsidRPr="00B677A8">
              <w:rPr>
                <w:rFonts w:asciiTheme="minorHAnsi" w:hAnsiTheme="minorHAnsi" w:cstheme="minorHAnsi"/>
                <w:bCs/>
                <w:sz w:val="22"/>
                <w:szCs w:val="22"/>
              </w:rPr>
              <w:t>, Vzdělávací centra, vysoké školy</w:t>
            </w:r>
          </w:p>
        </w:tc>
        <w:tc>
          <w:tcPr>
            <w:tcW w:w="2977" w:type="dxa"/>
          </w:tcPr>
          <w:p w:rsidR="00514ECA" w:rsidRPr="00B677A8" w:rsidP="00B803CB" w14:paraId="485D4E34"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 projektu</w:t>
            </w:r>
          </w:p>
          <w:p w:rsidR="00514ECA" w:rsidRPr="00B677A8" w:rsidP="00B803CB" w14:paraId="2C5106DD" w14:textId="16161677">
            <w:pPr>
              <w:jc w:val="both"/>
              <w:rPr>
                <w:rFonts w:asciiTheme="minorHAnsi" w:hAnsiTheme="minorHAnsi" w:cstheme="minorHAnsi"/>
                <w:bCs/>
                <w:sz w:val="22"/>
                <w:szCs w:val="22"/>
              </w:rPr>
            </w:pPr>
          </w:p>
        </w:tc>
        <w:tc>
          <w:tcPr>
            <w:tcW w:w="3260" w:type="dxa"/>
          </w:tcPr>
          <w:p w:rsidR="00514ECA" w:rsidRPr="00B677A8" w:rsidP="00B803CB" w14:paraId="306688C5" w14:textId="59BF8ECD">
            <w:pPr>
              <w:jc w:val="both"/>
              <w:rPr>
                <w:rFonts w:asciiTheme="minorHAnsi" w:hAnsiTheme="minorHAnsi" w:cstheme="minorHAnsi"/>
                <w:bCs/>
                <w:sz w:val="22"/>
                <w:szCs w:val="22"/>
              </w:rPr>
            </w:pPr>
            <w:r w:rsidRPr="00B677A8">
              <w:rPr>
                <w:rFonts w:asciiTheme="minorHAnsi" w:hAnsiTheme="minorHAnsi" w:cstheme="minorHAnsi"/>
                <w:bCs/>
                <w:sz w:val="22"/>
                <w:szCs w:val="22"/>
              </w:rPr>
              <w:t>Zajistit udržitelnost a rozvoj po skončení projektů NPO</w:t>
            </w:r>
          </w:p>
        </w:tc>
      </w:tr>
      <w:tr w14:paraId="6D6B45DC" w14:textId="6899BA37" w:rsidTr="00F53A99">
        <w:tblPrEx>
          <w:tblW w:w="15451" w:type="dxa"/>
          <w:tblInd w:w="-147" w:type="dxa"/>
          <w:tblLayout w:type="fixed"/>
          <w:tblCellMar>
            <w:left w:w="70" w:type="dxa"/>
            <w:right w:w="70" w:type="dxa"/>
          </w:tblCellMar>
          <w:tblLook w:val="0000"/>
        </w:tblPrEx>
        <w:trPr>
          <w:trHeight w:val="847"/>
        </w:trPr>
        <w:tc>
          <w:tcPr>
            <w:tcW w:w="1560" w:type="dxa"/>
          </w:tcPr>
          <w:p w:rsidR="00514ECA" w:rsidRPr="00B677A8" w:rsidP="00B803CB" w14:paraId="7BB257A5" w14:textId="008825E5">
            <w:pPr>
              <w:ind w:left="-38"/>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w:t>
            </w:r>
            <w:r w:rsidRPr="00B677A8" w:rsidR="00C11D1F">
              <w:rPr>
                <w:rFonts w:asciiTheme="minorHAnsi" w:hAnsiTheme="minorHAnsi" w:cstheme="minorHAnsi"/>
                <w:bCs/>
                <w:sz w:val="22"/>
                <w:szCs w:val="22"/>
              </w:rPr>
              <w:t>4</w:t>
            </w:r>
            <w:r w:rsidRPr="00B677A8">
              <w:rPr>
                <w:rFonts w:asciiTheme="minorHAnsi" w:hAnsiTheme="minorHAnsi" w:cstheme="minorHAnsi"/>
                <w:bCs/>
                <w:sz w:val="22"/>
                <w:szCs w:val="22"/>
              </w:rPr>
              <w:t xml:space="preserve"> Programy posilující budování důvěry ve služby digitálního zdravotnictví mezi občany i zdravotníky</w:t>
            </w:r>
          </w:p>
        </w:tc>
        <w:tc>
          <w:tcPr>
            <w:tcW w:w="1984" w:type="dxa"/>
          </w:tcPr>
          <w:p w:rsidR="00514ECA" w:rsidRPr="00B677A8" w:rsidP="00B803CB" w14:paraId="20E90DD8" w14:textId="77777777">
            <w:pPr>
              <w:jc w:val="both"/>
              <w:rPr>
                <w:rFonts w:asciiTheme="minorHAnsi" w:hAnsiTheme="minorHAnsi" w:cstheme="minorHAnsi"/>
                <w:bCs/>
                <w:sz w:val="22"/>
                <w:szCs w:val="22"/>
              </w:rPr>
            </w:pPr>
          </w:p>
        </w:tc>
        <w:tc>
          <w:tcPr>
            <w:tcW w:w="2268" w:type="dxa"/>
          </w:tcPr>
          <w:p w:rsidR="00514ECA" w:rsidRPr="00B677A8" w:rsidP="00B803CB" w14:paraId="03D95539" w14:textId="4C643A98">
            <w:pPr>
              <w:jc w:val="both"/>
              <w:rPr>
                <w:rFonts w:asciiTheme="minorHAnsi" w:hAnsiTheme="minorHAnsi" w:cstheme="minorHAnsi"/>
                <w:bCs/>
                <w:sz w:val="22"/>
                <w:szCs w:val="22"/>
              </w:rPr>
            </w:pPr>
            <w:r w:rsidRPr="00B677A8">
              <w:rPr>
                <w:rFonts w:asciiTheme="minorHAnsi" w:hAnsiTheme="minorHAnsi" w:cstheme="minorHAnsi"/>
                <w:bCs/>
                <w:sz w:val="22"/>
                <w:szCs w:val="22"/>
              </w:rPr>
              <w:t>Zavádění cílených programů vzdělávání a obecné osvěty občanů a zejména pacientů a zdravotníků</w:t>
            </w:r>
          </w:p>
        </w:tc>
        <w:tc>
          <w:tcPr>
            <w:tcW w:w="1134" w:type="dxa"/>
          </w:tcPr>
          <w:p w:rsidR="00514ECA" w:rsidRPr="00B677A8" w:rsidP="00B803CB" w14:paraId="6BC58C59" w14:textId="7E87EA94">
            <w:pPr>
              <w:jc w:val="both"/>
              <w:rPr>
                <w:rFonts w:asciiTheme="minorHAnsi" w:hAnsiTheme="minorHAnsi" w:cstheme="minorHAnsi"/>
                <w:bCs/>
                <w:sz w:val="22"/>
                <w:szCs w:val="22"/>
              </w:rPr>
            </w:pPr>
            <w:r w:rsidRPr="00B677A8">
              <w:rPr>
                <w:rFonts w:asciiTheme="minorHAnsi" w:hAnsiTheme="minorHAnsi" w:cstheme="minorHAnsi"/>
                <w:bCs/>
                <w:sz w:val="22"/>
                <w:szCs w:val="22"/>
              </w:rPr>
              <w:t>2021-2030</w:t>
            </w:r>
          </w:p>
        </w:tc>
        <w:tc>
          <w:tcPr>
            <w:tcW w:w="851" w:type="dxa"/>
          </w:tcPr>
          <w:p w:rsidR="00514ECA" w:rsidRPr="00B677A8" w:rsidP="00B803CB" w14:paraId="14A6170A" w14:textId="2C3952FE">
            <w:pPr>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(SIT</w:t>
            </w:r>
            <w:r w:rsidRPr="00B677A8" w:rsidR="00DB7CB7">
              <w:rPr>
                <w:rFonts w:asciiTheme="minorHAnsi" w:hAnsiTheme="minorHAnsi" w:cstheme="minorHAnsi"/>
                <w:bCs/>
                <w:sz w:val="22"/>
                <w:szCs w:val="22"/>
              </w:rPr>
              <w:t>/NCEZ</w:t>
            </w:r>
            <w:r w:rsidRPr="00B677A8">
              <w:rPr>
                <w:rFonts w:asciiTheme="minorHAnsi" w:hAnsiTheme="minorHAnsi" w:cstheme="minorHAnsi"/>
                <w:bCs/>
                <w:sz w:val="22"/>
                <w:szCs w:val="22"/>
              </w:rPr>
              <w:t>), IPVZ</w:t>
            </w:r>
          </w:p>
        </w:tc>
        <w:tc>
          <w:tcPr>
            <w:tcW w:w="1417" w:type="dxa"/>
          </w:tcPr>
          <w:p w:rsidR="00514ECA" w:rsidRPr="00B677A8" w:rsidP="00B803CB" w14:paraId="1DD8E941" w14:textId="1EAEE573">
            <w:pPr>
              <w:pStyle w:val="FootnoteText"/>
              <w:jc w:val="both"/>
              <w:rPr>
                <w:rFonts w:asciiTheme="minorHAnsi" w:hAnsiTheme="minorHAnsi" w:cstheme="minorHAnsi"/>
                <w:bCs/>
                <w:sz w:val="22"/>
                <w:szCs w:val="22"/>
              </w:rPr>
            </w:pPr>
            <w:r w:rsidRPr="00B677A8">
              <w:rPr>
                <w:rFonts w:asciiTheme="minorHAnsi" w:hAnsiTheme="minorHAnsi" w:cstheme="minorHAnsi"/>
                <w:bCs/>
                <w:sz w:val="22"/>
                <w:szCs w:val="22"/>
              </w:rPr>
              <w:t>MZD</w:t>
            </w:r>
            <w:r w:rsidRPr="00B677A8">
              <w:rPr>
                <w:rFonts w:asciiTheme="minorHAnsi" w:hAnsiTheme="minorHAnsi" w:cstheme="minorHAnsi"/>
                <w:bCs/>
                <w:sz w:val="22"/>
                <w:szCs w:val="22"/>
              </w:rPr>
              <w:t xml:space="preserve"> (SZ, SE, SL), IPVZ, NLK, SÚKL, přímo řízené organizace, poskytovatelé zdravotních a sociálních služeb, odborné společnosti, vysoké školy, vzdělávací centra, NNO,</w:t>
            </w:r>
          </w:p>
          <w:p w:rsidR="00514ECA" w:rsidRPr="00B677A8" w:rsidP="00B803CB" w14:paraId="42CE92E7" w14:textId="11295075">
            <w:pPr>
              <w:jc w:val="both"/>
              <w:rPr>
                <w:rFonts w:asciiTheme="minorHAnsi" w:hAnsiTheme="minorHAnsi" w:cstheme="minorHAnsi"/>
                <w:bCs/>
                <w:sz w:val="22"/>
                <w:szCs w:val="22"/>
              </w:rPr>
            </w:pPr>
            <w:r w:rsidRPr="00B677A8">
              <w:rPr>
                <w:rFonts w:asciiTheme="minorHAnsi" w:hAnsiTheme="minorHAnsi" w:cstheme="minorHAnsi"/>
                <w:bCs/>
                <w:sz w:val="22"/>
                <w:szCs w:val="22"/>
              </w:rPr>
              <w:t>pacientské organizace</w:t>
            </w:r>
          </w:p>
        </w:tc>
        <w:tc>
          <w:tcPr>
            <w:tcW w:w="2977" w:type="dxa"/>
          </w:tcPr>
          <w:p w:rsidR="00514ECA" w:rsidRPr="00B677A8" w:rsidP="00B803CB" w14:paraId="3E8DFD5A" w14:textId="4FC8191A">
            <w:pPr>
              <w:jc w:val="both"/>
              <w:rPr>
                <w:rFonts w:asciiTheme="minorHAnsi" w:hAnsiTheme="minorHAnsi" w:cstheme="minorHAnsi"/>
                <w:bCs/>
                <w:sz w:val="22"/>
                <w:szCs w:val="22"/>
              </w:rPr>
            </w:pPr>
            <w:r w:rsidRPr="00B677A8">
              <w:rPr>
                <w:rFonts w:asciiTheme="minorHAnsi" w:hAnsiTheme="minorHAnsi" w:cstheme="minorHAnsi"/>
                <w:bCs/>
                <w:sz w:val="22"/>
                <w:szCs w:val="22"/>
              </w:rPr>
              <w:t>Plněno prostřednictvím</w:t>
            </w:r>
            <w:r w:rsidRPr="00B677A8" w:rsidR="00C8342E">
              <w:rPr>
                <w:rFonts w:asciiTheme="minorHAnsi" w:hAnsiTheme="minorHAnsi" w:cstheme="minorHAnsi"/>
                <w:bCs/>
                <w:sz w:val="22"/>
                <w:szCs w:val="22"/>
              </w:rPr>
              <w:t xml:space="preserve"> více</w:t>
            </w:r>
            <w:r w:rsidRPr="00B677A8">
              <w:rPr>
                <w:rFonts w:asciiTheme="minorHAnsi" w:hAnsiTheme="minorHAnsi" w:cstheme="minorHAnsi"/>
                <w:bCs/>
                <w:sz w:val="22"/>
                <w:szCs w:val="22"/>
              </w:rPr>
              <w:t xml:space="preserve"> projekt</w:t>
            </w:r>
            <w:r w:rsidRPr="00B677A8" w:rsidR="00C8342E">
              <w:rPr>
                <w:rFonts w:asciiTheme="minorHAnsi" w:hAnsiTheme="minorHAnsi" w:cstheme="minorHAnsi"/>
                <w:bCs/>
                <w:sz w:val="22"/>
                <w:szCs w:val="22"/>
              </w:rPr>
              <w:t>ů NPO</w:t>
            </w:r>
          </w:p>
          <w:p w:rsidR="00514ECA" w:rsidRPr="00B677A8" w:rsidP="00B803CB" w14:paraId="09E69192" w14:textId="0F7FE2D9">
            <w:pPr>
              <w:jc w:val="both"/>
              <w:rPr>
                <w:rFonts w:asciiTheme="minorHAnsi" w:hAnsiTheme="minorHAnsi" w:cstheme="minorHAnsi"/>
                <w:bCs/>
                <w:sz w:val="22"/>
                <w:szCs w:val="22"/>
              </w:rPr>
            </w:pPr>
          </w:p>
        </w:tc>
        <w:tc>
          <w:tcPr>
            <w:tcW w:w="3260" w:type="dxa"/>
          </w:tcPr>
          <w:p w:rsidR="00514ECA" w:rsidRPr="00B677A8" w:rsidP="00B803CB" w14:paraId="6C89C936" w14:textId="5F0EDFF9">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Zajistit udržitelnost a </w:t>
            </w:r>
            <w:r w:rsidRPr="00B677A8" w:rsidR="007A2C61">
              <w:rPr>
                <w:rFonts w:asciiTheme="minorHAnsi" w:hAnsiTheme="minorHAnsi" w:cstheme="minorHAnsi"/>
                <w:bCs/>
                <w:sz w:val="22"/>
                <w:szCs w:val="22"/>
              </w:rPr>
              <w:t>zásadní rozvoj</w:t>
            </w:r>
            <w:r w:rsidRPr="00B677A8">
              <w:rPr>
                <w:rFonts w:asciiTheme="minorHAnsi" w:hAnsiTheme="minorHAnsi" w:cstheme="minorHAnsi"/>
                <w:bCs/>
                <w:sz w:val="22"/>
                <w:szCs w:val="22"/>
              </w:rPr>
              <w:t xml:space="preserve"> po skončení projektů NPO</w:t>
            </w:r>
            <w:r w:rsidRPr="00B677A8" w:rsidR="00C8342E">
              <w:rPr>
                <w:rFonts w:asciiTheme="minorHAnsi" w:hAnsiTheme="minorHAnsi" w:cstheme="minorHAnsi"/>
                <w:bCs/>
                <w:sz w:val="22"/>
                <w:szCs w:val="22"/>
              </w:rPr>
              <w:t xml:space="preserve"> po roce 2026</w:t>
            </w:r>
            <w:r w:rsidRPr="00B677A8" w:rsidR="007A2C61">
              <w:rPr>
                <w:rFonts w:asciiTheme="minorHAnsi" w:hAnsiTheme="minorHAnsi" w:cstheme="minorHAnsi"/>
                <w:bCs/>
                <w:sz w:val="22"/>
                <w:szCs w:val="22"/>
              </w:rPr>
              <w:t>, v těsné návaznosti na rozvoj digitálních služeb ve zdravotnictví.</w:t>
            </w:r>
          </w:p>
        </w:tc>
      </w:tr>
    </w:tbl>
    <w:p w:rsidR="00514ECA" w:rsidRPr="00B677A8" w:rsidP="00B677A8" w14:paraId="078A995B" w14:textId="637EC00F">
      <w:pPr>
        <w:pStyle w:val="Bntext"/>
        <w:rPr>
          <w:sz w:val="20"/>
          <w:szCs w:val="22"/>
        </w:rPr>
        <w:sectPr w:rsidSect="00514ECA">
          <w:pgSz w:w="16838" w:h="11906" w:orient="landscape"/>
          <w:pgMar w:top="720" w:right="720" w:bottom="720" w:left="720" w:header="708" w:footer="708" w:gutter="0"/>
          <w:cols w:space="708"/>
          <w:titlePg/>
          <w:docGrid w:linePitch="360"/>
        </w:sectPr>
      </w:pPr>
      <w:r w:rsidRPr="00B677A8">
        <w:rPr>
          <w:sz w:val="20"/>
          <w:szCs w:val="22"/>
        </w:rPr>
        <w:t>Tab. č. 2: Hierarchická struktura a harmonogram realizace</w:t>
      </w:r>
    </w:p>
    <w:p w:rsidR="00514ECA" w:rsidP="00D62076" w14:paraId="6AF840EF" w14:textId="77777777">
      <w:pPr>
        <w:pStyle w:val="Heading1"/>
        <w:ind w:left="720"/>
        <w:jc w:val="both"/>
        <w:rPr>
          <w:rFonts w:cstheme="minorHAnsi"/>
        </w:rPr>
      </w:pPr>
    </w:p>
    <w:p w:rsidR="002B1FFD" w:rsidRPr="00C24606" w:rsidP="00C709C0" w14:paraId="6F31B2DD" w14:textId="62978C8F">
      <w:pPr>
        <w:pStyle w:val="Heading1"/>
        <w:numPr>
          <w:ilvl w:val="0"/>
          <w:numId w:val="13"/>
        </w:numPr>
        <w:jc w:val="both"/>
        <w:rPr>
          <w:rFonts w:cstheme="minorHAnsi"/>
        </w:rPr>
      </w:pPr>
      <w:bookmarkStart w:id="251" w:name="_Toc256000009"/>
      <w:r w:rsidRPr="00C24606">
        <w:rPr>
          <w:rFonts w:cstheme="minorHAnsi"/>
        </w:rPr>
        <w:t xml:space="preserve">Rozpočet a </w:t>
      </w:r>
      <w:r w:rsidRPr="00C24606" w:rsidR="0024762C">
        <w:rPr>
          <w:rFonts w:cstheme="minorHAnsi"/>
        </w:rPr>
        <w:t xml:space="preserve">předpokládané </w:t>
      </w:r>
      <w:r w:rsidRPr="00C24606">
        <w:rPr>
          <w:rFonts w:cstheme="minorHAnsi"/>
        </w:rPr>
        <w:t>zdroje financování</w:t>
      </w:r>
      <w:bookmarkEnd w:id="251"/>
    </w:p>
    <w:p w:rsidR="00C11F34" w:rsidRPr="00C24606" w:rsidP="00C709C0" w14:paraId="60A7B4C8" w14:textId="77777777">
      <w:pPr>
        <w:jc w:val="both"/>
        <w:rPr>
          <w:rFonts w:asciiTheme="minorHAnsi" w:hAnsiTheme="minorHAnsi" w:cstheme="minorHAnsi"/>
        </w:rPr>
      </w:pPr>
    </w:p>
    <w:p w:rsidR="0043578C" w:rsidP="00C709C0" w14:paraId="1CCF3719" w14:textId="212DCE79">
      <w:pPr>
        <w:jc w:val="both"/>
        <w:rPr>
          <w:rFonts w:asciiTheme="minorHAnsi" w:hAnsiTheme="minorHAnsi" w:cstheme="minorHAnsi"/>
        </w:rPr>
      </w:pPr>
      <w:r w:rsidRPr="00C24606">
        <w:rPr>
          <w:rFonts w:asciiTheme="minorHAnsi" w:hAnsiTheme="minorHAnsi" w:cstheme="minorHAnsi"/>
        </w:rPr>
        <w:t>Stejně jako v předchozích letech</w:t>
      </w:r>
      <w:r w:rsidRPr="00C24606" w:rsidR="00B70D43">
        <w:rPr>
          <w:rFonts w:asciiTheme="minorHAnsi" w:hAnsiTheme="minorHAnsi" w:cstheme="minorHAnsi"/>
        </w:rPr>
        <w:t>,</w:t>
      </w:r>
      <w:r w:rsidRPr="00C24606">
        <w:rPr>
          <w:rFonts w:asciiTheme="minorHAnsi" w:hAnsiTheme="minorHAnsi" w:cstheme="minorHAnsi"/>
        </w:rPr>
        <w:t xml:space="preserve"> i v</w:t>
      </w:r>
      <w:r w:rsidRPr="00C24606">
        <w:rPr>
          <w:rFonts w:asciiTheme="minorHAnsi" w:hAnsiTheme="minorHAnsi" w:cstheme="minorHAnsi"/>
        </w:rPr>
        <w:t xml:space="preserve"> období 2021–</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00514ECA">
        <w:rPr>
          <w:rFonts w:asciiTheme="minorHAnsi" w:hAnsiTheme="minorHAnsi" w:cstheme="minorHAnsi"/>
        </w:rPr>
        <w:t>představuj</w:t>
      </w:r>
      <w:r w:rsidRPr="00C24606" w:rsidR="00514ECA">
        <w:rPr>
          <w:rFonts w:asciiTheme="minorHAnsi" w:hAnsiTheme="minorHAnsi" w:cstheme="minorHAnsi"/>
        </w:rPr>
        <w:t xml:space="preserve">e </w:t>
      </w:r>
      <w:r w:rsidRPr="00C24606">
        <w:rPr>
          <w:rFonts w:asciiTheme="minorHAnsi" w:hAnsiTheme="minorHAnsi" w:cstheme="minorHAnsi"/>
        </w:rPr>
        <w:t xml:space="preserve">významný </w:t>
      </w:r>
      <w:r w:rsidRPr="00C24606">
        <w:rPr>
          <w:rFonts w:asciiTheme="minorHAnsi" w:hAnsiTheme="minorHAnsi" w:cstheme="minorHAnsi"/>
        </w:rPr>
        <w:t xml:space="preserve">zdroj financování oblasti zdravotnictví státní rozpočet, kapitola 335 </w:t>
      </w:r>
      <w:r w:rsidRPr="00C24606" w:rsidR="00B70D43">
        <w:rPr>
          <w:rFonts w:asciiTheme="minorHAnsi" w:hAnsiTheme="minorHAnsi" w:cstheme="minorHAnsi"/>
        </w:rPr>
        <w:t>–</w:t>
      </w:r>
      <w:r w:rsidRPr="00C24606">
        <w:rPr>
          <w:rFonts w:asciiTheme="minorHAnsi" w:hAnsiTheme="minorHAnsi" w:cstheme="minorHAnsi"/>
        </w:rPr>
        <w:t xml:space="preserve"> M</w:t>
      </w:r>
      <w:r w:rsidRPr="00C24606" w:rsidR="00B70D43">
        <w:rPr>
          <w:rFonts w:asciiTheme="minorHAnsi" w:hAnsiTheme="minorHAnsi" w:cstheme="minorHAnsi"/>
        </w:rPr>
        <w:t>inisterstvo zdravotnictví</w:t>
      </w:r>
      <w:r w:rsidRPr="00C24606">
        <w:rPr>
          <w:rFonts w:asciiTheme="minorHAnsi" w:hAnsiTheme="minorHAnsi" w:cstheme="minorHAnsi"/>
        </w:rPr>
        <w:t>. Dalším</w:t>
      </w:r>
      <w:r w:rsidRPr="00C24606">
        <w:rPr>
          <w:rFonts w:asciiTheme="minorHAnsi" w:hAnsiTheme="minorHAnsi" w:cstheme="minorHAnsi"/>
        </w:rPr>
        <w:t>i</w:t>
      </w:r>
      <w:r w:rsidRPr="00C24606">
        <w:rPr>
          <w:rFonts w:asciiTheme="minorHAnsi" w:hAnsiTheme="minorHAnsi" w:cstheme="minorHAnsi"/>
        </w:rPr>
        <w:t xml:space="preserve"> významným</w:t>
      </w:r>
      <w:r w:rsidRPr="00C24606">
        <w:rPr>
          <w:rFonts w:asciiTheme="minorHAnsi" w:hAnsiTheme="minorHAnsi" w:cstheme="minorHAnsi"/>
        </w:rPr>
        <w:t>i</w:t>
      </w:r>
      <w:r w:rsidRPr="00C24606">
        <w:rPr>
          <w:rFonts w:asciiTheme="minorHAnsi" w:hAnsiTheme="minorHAnsi" w:cstheme="minorHAnsi"/>
        </w:rPr>
        <w:t xml:space="preserve"> zdroj</w:t>
      </w:r>
      <w:r w:rsidRPr="00C24606">
        <w:rPr>
          <w:rFonts w:asciiTheme="minorHAnsi" w:hAnsiTheme="minorHAnsi" w:cstheme="minorHAnsi"/>
        </w:rPr>
        <w:t>i</w:t>
      </w:r>
      <w:r w:rsidRPr="00C24606">
        <w:rPr>
          <w:rFonts w:asciiTheme="minorHAnsi" w:hAnsiTheme="minorHAnsi" w:cstheme="minorHAnsi"/>
        </w:rPr>
        <w:t xml:space="preserve"> financování pak </w:t>
      </w:r>
      <w:r w:rsidR="00514ECA">
        <w:rPr>
          <w:rFonts w:asciiTheme="minorHAnsi" w:hAnsiTheme="minorHAnsi" w:cstheme="minorHAnsi"/>
        </w:rPr>
        <w:t>jsou</w:t>
      </w:r>
      <w:r w:rsidRPr="00C24606" w:rsidR="00514ECA">
        <w:rPr>
          <w:rFonts w:asciiTheme="minorHAnsi" w:hAnsiTheme="minorHAnsi" w:cstheme="minorHAnsi"/>
        </w:rPr>
        <w:t xml:space="preserve"> </w:t>
      </w:r>
      <w:r w:rsidRPr="00C24606">
        <w:rPr>
          <w:rFonts w:asciiTheme="minorHAnsi" w:hAnsiTheme="minorHAnsi" w:cstheme="minorHAnsi"/>
        </w:rPr>
        <w:t>fondy EU a další finanční mechanismy</w:t>
      </w:r>
      <w:r w:rsidRPr="00C24606" w:rsidR="00E17043">
        <w:rPr>
          <w:rFonts w:asciiTheme="minorHAnsi" w:hAnsiTheme="minorHAnsi" w:cstheme="minorHAnsi"/>
        </w:rPr>
        <w:t>,</w:t>
      </w:r>
      <w:r w:rsidRPr="00C24606">
        <w:rPr>
          <w:rFonts w:asciiTheme="minorHAnsi" w:hAnsiTheme="minorHAnsi" w:cstheme="minorHAnsi"/>
        </w:rPr>
        <w:t xml:space="preserve"> jako jsou </w:t>
      </w:r>
      <w:r w:rsidR="00286D7D">
        <w:rPr>
          <w:rFonts w:asciiTheme="minorHAnsi" w:hAnsiTheme="minorHAnsi" w:cstheme="minorHAnsi"/>
        </w:rPr>
        <w:t xml:space="preserve">program EU4Health nebo </w:t>
      </w:r>
      <w:r w:rsidR="00364FB7">
        <w:rPr>
          <w:rFonts w:asciiTheme="minorHAnsi" w:hAnsiTheme="minorHAnsi" w:cstheme="minorHAnsi"/>
        </w:rPr>
        <w:t>vládní Program Digitální Česko</w:t>
      </w:r>
      <w:r w:rsidR="00EB72EC">
        <w:rPr>
          <w:rFonts w:asciiTheme="minorHAnsi" w:hAnsiTheme="minorHAnsi" w:cstheme="minorHAnsi"/>
        </w:rPr>
        <w:t>.</w:t>
      </w:r>
      <w:r w:rsidRPr="00C24606">
        <w:rPr>
          <w:rFonts w:asciiTheme="minorHAnsi" w:hAnsiTheme="minorHAnsi" w:cstheme="minorHAnsi"/>
        </w:rPr>
        <w:t xml:space="preserve"> Rozpočet resortu je průběžně zajišťován prostřednictvím standar</w:t>
      </w:r>
      <w:r w:rsidR="00EB72EC">
        <w:rPr>
          <w:rFonts w:asciiTheme="minorHAnsi" w:hAnsiTheme="minorHAnsi" w:cstheme="minorHAnsi"/>
        </w:rPr>
        <w:t>d</w:t>
      </w:r>
      <w:r w:rsidRPr="00C24606">
        <w:rPr>
          <w:rFonts w:asciiTheme="minorHAnsi" w:hAnsiTheme="minorHAnsi" w:cstheme="minorHAnsi"/>
        </w:rPr>
        <w:t xml:space="preserve">ních procesů tvorby rozpočtového rámce (střednědobého i dlouhodobého) a je projednáván v rámci stanovování státního rozpočtu. </w:t>
      </w:r>
    </w:p>
    <w:p w:rsidR="00B677A8" w:rsidRPr="00C24606" w:rsidP="00C709C0" w14:paraId="3BBAA42B" w14:textId="77777777">
      <w:pPr>
        <w:jc w:val="both"/>
        <w:rPr>
          <w:rFonts w:asciiTheme="minorHAnsi" w:hAnsiTheme="minorHAnsi" w:cstheme="minorHAnsi"/>
        </w:rPr>
      </w:pPr>
    </w:p>
    <w:p w:rsidR="00943882" w:rsidRPr="00C24606" w:rsidP="00C709C0" w14:paraId="41BAC3D5" w14:textId="0C4DC05D">
      <w:pPr>
        <w:jc w:val="both"/>
        <w:rPr>
          <w:rFonts w:asciiTheme="minorHAnsi" w:hAnsiTheme="minorHAnsi" w:cstheme="minorHAnsi"/>
        </w:rPr>
      </w:pPr>
      <w:r w:rsidRPr="00C24606">
        <w:rPr>
          <w:rFonts w:asciiTheme="minorHAnsi" w:hAnsiTheme="minorHAnsi" w:cstheme="minorHAnsi"/>
        </w:rPr>
        <w:t xml:space="preserve">Primárními zdroji finančních prostředků pro zajištění a podporu implementačních projektů dílčích cílů v rámci specifického cíle Digitalizace zdravotnictví budou </w:t>
      </w:r>
      <w:r w:rsidRPr="00C24606">
        <w:rPr>
          <w:rFonts w:asciiTheme="minorHAnsi" w:hAnsiTheme="minorHAnsi" w:cstheme="minorHAnsi"/>
        </w:rPr>
        <w:t xml:space="preserve">z </w:t>
      </w:r>
      <w:r w:rsidRPr="00C24606">
        <w:rPr>
          <w:rFonts w:asciiTheme="minorHAnsi" w:hAnsiTheme="minorHAnsi" w:cstheme="minorHAnsi"/>
        </w:rPr>
        <w:t xml:space="preserve">rozpočtovaných výdajů kapitoly </w:t>
      </w:r>
      <w:r w:rsidR="008C6210">
        <w:rPr>
          <w:rFonts w:asciiTheme="minorHAnsi" w:hAnsiTheme="minorHAnsi" w:cstheme="minorHAnsi"/>
        </w:rPr>
        <w:t>MZD</w:t>
      </w:r>
      <w:r w:rsidRPr="00C24606">
        <w:rPr>
          <w:rFonts w:asciiTheme="minorHAnsi" w:hAnsiTheme="minorHAnsi" w:cstheme="minorHAnsi"/>
        </w:rPr>
        <w:t xml:space="preserve"> a střednědobých výdajových limitů této kapitoly. Důležitým zdrojem</w:t>
      </w:r>
      <w:r w:rsidRPr="00C24606">
        <w:rPr>
          <w:rFonts w:asciiTheme="minorHAnsi" w:hAnsiTheme="minorHAnsi" w:cstheme="minorHAnsi"/>
        </w:rPr>
        <w:t xml:space="preserve"> financování budou fondy EU a další finanční mechanismy (např. </w:t>
      </w:r>
      <w:r w:rsidR="00411F51">
        <w:rPr>
          <w:rFonts w:asciiTheme="minorHAnsi" w:hAnsiTheme="minorHAnsi" w:cstheme="minorHAnsi"/>
        </w:rPr>
        <w:t xml:space="preserve">Národní plán obnovy, </w:t>
      </w:r>
      <w:r w:rsidRPr="00C24606">
        <w:rPr>
          <w:rFonts w:asciiTheme="minorHAnsi" w:hAnsiTheme="minorHAnsi" w:cstheme="minorHAnsi"/>
        </w:rPr>
        <w:t>Digital Europe Programme (DEP), program Connecting Europe Facility (CEF), The Invest EU Programme (InvestEU), Structural Reform Su</w:t>
      </w:r>
      <w:r w:rsidR="00971D98">
        <w:rPr>
          <w:rFonts w:asciiTheme="minorHAnsi" w:hAnsiTheme="minorHAnsi" w:cstheme="minorHAnsi"/>
        </w:rPr>
        <w:t>p</w:t>
      </w:r>
      <w:r w:rsidRPr="00C24606">
        <w:rPr>
          <w:rFonts w:asciiTheme="minorHAnsi" w:hAnsiTheme="minorHAnsi" w:cstheme="minorHAnsi"/>
        </w:rPr>
        <w:t xml:space="preserve">port Programme, Horizon Europe (HE), eHealth Network (Joint Action). </w:t>
      </w:r>
      <w:r w:rsidR="00364FB7">
        <w:rPr>
          <w:rFonts w:asciiTheme="minorHAnsi" w:hAnsiTheme="minorHAnsi" w:cstheme="minorHAnsi"/>
        </w:rPr>
        <w:t>Dalšími zdroji je</w:t>
      </w:r>
      <w:r w:rsidRPr="00C24606">
        <w:rPr>
          <w:rFonts w:asciiTheme="minorHAnsi" w:hAnsiTheme="minorHAnsi" w:cstheme="minorHAnsi"/>
        </w:rPr>
        <w:t xml:space="preserve"> vládní program </w:t>
      </w:r>
      <w:r w:rsidRPr="00C24606" w:rsidR="00F95C2E">
        <w:rPr>
          <w:rFonts w:asciiTheme="minorHAnsi" w:hAnsiTheme="minorHAnsi" w:cstheme="minorHAnsi"/>
        </w:rPr>
        <w:t>Digitální</w:t>
      </w:r>
      <w:r w:rsidRPr="00C24606">
        <w:rPr>
          <w:rFonts w:asciiTheme="minorHAnsi" w:hAnsiTheme="minorHAnsi" w:cstheme="minorHAnsi"/>
        </w:rPr>
        <w:t xml:space="preserve"> Česko </w:t>
      </w:r>
      <w:r w:rsidR="00364FB7">
        <w:rPr>
          <w:rFonts w:asciiTheme="minorHAnsi" w:hAnsiTheme="minorHAnsi" w:cstheme="minorHAnsi"/>
        </w:rPr>
        <w:t xml:space="preserve">prostřednictvím </w:t>
      </w:r>
      <w:r w:rsidRPr="00C24606">
        <w:rPr>
          <w:rFonts w:asciiTheme="minorHAnsi" w:hAnsiTheme="minorHAnsi" w:cstheme="minorHAnsi"/>
        </w:rPr>
        <w:t>jeho implementační</w:t>
      </w:r>
      <w:r w:rsidR="00364FB7">
        <w:rPr>
          <w:rFonts w:asciiTheme="minorHAnsi" w:hAnsiTheme="minorHAnsi" w:cstheme="minorHAnsi"/>
        </w:rPr>
        <w:t>ch</w:t>
      </w:r>
      <w:r w:rsidRPr="00C24606">
        <w:rPr>
          <w:rFonts w:asciiTheme="minorHAnsi" w:hAnsiTheme="minorHAnsi" w:cstheme="minorHAnsi"/>
        </w:rPr>
        <w:t xml:space="preserve"> plán</w:t>
      </w:r>
      <w:r w:rsidR="00364FB7">
        <w:rPr>
          <w:rFonts w:asciiTheme="minorHAnsi" w:hAnsiTheme="minorHAnsi" w:cstheme="minorHAnsi"/>
        </w:rPr>
        <w:t>ů</w:t>
      </w:r>
      <w:r w:rsidRPr="00C24606">
        <w:rPr>
          <w:rFonts w:asciiTheme="minorHAnsi" w:hAnsiTheme="minorHAnsi" w:cstheme="minorHAnsi"/>
        </w:rPr>
        <w:t xml:space="preserve"> v rámci Informační koncepce ČR a Digitální ekonomika a společnost.</w:t>
      </w:r>
      <w:r w:rsidR="00725825">
        <w:rPr>
          <w:rFonts w:asciiTheme="minorHAnsi" w:hAnsiTheme="minorHAnsi" w:cstheme="minorHAnsi"/>
        </w:rPr>
        <w:t xml:space="preserve"> Pro udržitelnost výstupů realizovaných </w:t>
      </w:r>
      <w:r w:rsidR="00EF691F">
        <w:rPr>
          <w:rFonts w:asciiTheme="minorHAnsi" w:hAnsiTheme="minorHAnsi" w:cstheme="minorHAnsi"/>
        </w:rPr>
        <w:t xml:space="preserve">projektů a jejich další rozvoj bude </w:t>
      </w:r>
      <w:r w:rsidR="00AA72E3">
        <w:rPr>
          <w:rFonts w:asciiTheme="minorHAnsi" w:hAnsiTheme="minorHAnsi" w:cstheme="minorHAnsi"/>
        </w:rPr>
        <w:t xml:space="preserve">naprosto </w:t>
      </w:r>
      <w:r w:rsidR="00EF691F">
        <w:rPr>
          <w:rFonts w:asciiTheme="minorHAnsi" w:hAnsiTheme="minorHAnsi" w:cstheme="minorHAnsi"/>
        </w:rPr>
        <w:t>klíčové zajiště</w:t>
      </w:r>
      <w:r w:rsidR="00C07BFA">
        <w:rPr>
          <w:rFonts w:asciiTheme="minorHAnsi" w:hAnsiTheme="minorHAnsi" w:cstheme="minorHAnsi"/>
        </w:rPr>
        <w:t>n</w:t>
      </w:r>
      <w:r w:rsidR="00EF691F">
        <w:rPr>
          <w:rFonts w:asciiTheme="minorHAnsi" w:hAnsiTheme="minorHAnsi" w:cstheme="minorHAnsi"/>
        </w:rPr>
        <w:t>í financování po skončení stávajícího pro</w:t>
      </w:r>
      <w:r w:rsidR="00C07BFA">
        <w:rPr>
          <w:rFonts w:asciiTheme="minorHAnsi" w:hAnsiTheme="minorHAnsi" w:cstheme="minorHAnsi"/>
        </w:rPr>
        <w:t>gramového období</w:t>
      </w:r>
      <w:r w:rsidR="00FC1976">
        <w:rPr>
          <w:rFonts w:asciiTheme="minorHAnsi" w:hAnsiTheme="minorHAnsi" w:cstheme="minorHAnsi"/>
        </w:rPr>
        <w:t xml:space="preserve"> fondů</w:t>
      </w:r>
      <w:r w:rsidR="00C07BFA">
        <w:rPr>
          <w:rFonts w:asciiTheme="minorHAnsi" w:hAnsiTheme="minorHAnsi" w:cstheme="minorHAnsi"/>
        </w:rPr>
        <w:t xml:space="preserve"> EU a Národního plánu obnovy</w:t>
      </w:r>
      <w:r w:rsidR="00AA72E3">
        <w:rPr>
          <w:rFonts w:asciiTheme="minorHAnsi" w:hAnsiTheme="minorHAnsi" w:cstheme="minorHAnsi"/>
        </w:rPr>
        <w:t>.</w:t>
      </w:r>
    </w:p>
    <w:p w:rsidR="00121E7C" w:rsidRPr="00C24606" w:rsidP="00C709C0" w14:paraId="34F78BE2" w14:textId="77777777">
      <w:pPr>
        <w:jc w:val="both"/>
        <w:rPr>
          <w:rFonts w:asciiTheme="minorHAnsi" w:hAnsiTheme="minorHAnsi" w:cstheme="minorHAnsi"/>
        </w:rPr>
      </w:pPr>
    </w:p>
    <w:p w:rsidR="00121E7C" w:rsidRPr="00C24606" w:rsidP="00C709C0" w14:paraId="786560AD" w14:textId="77777777">
      <w:pPr>
        <w:jc w:val="both"/>
        <w:rPr>
          <w:rFonts w:asciiTheme="minorHAnsi" w:hAnsiTheme="minorHAnsi" w:cstheme="minorHAnsi"/>
        </w:rPr>
      </w:pPr>
    </w:p>
    <w:tbl>
      <w:tblPr>
        <w:tblW w:w="101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13"/>
        <w:gridCol w:w="1276"/>
        <w:gridCol w:w="1276"/>
        <w:gridCol w:w="1276"/>
        <w:gridCol w:w="1134"/>
        <w:gridCol w:w="1134"/>
      </w:tblGrid>
      <w:tr w14:paraId="0F342254" w14:textId="77777777" w:rsidTr="008C6210">
        <w:tblPrEx>
          <w:tblW w:w="101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343"/>
        </w:trPr>
        <w:tc>
          <w:tcPr>
            <w:tcW w:w="4013" w:type="dxa"/>
            <w:vMerge w:val="restart"/>
          </w:tcPr>
          <w:p w:rsidR="008C6210" w:rsidRPr="00B677A8" w:rsidP="00C709C0" w14:paraId="643ABC7D" w14:textId="77777777">
            <w:pPr>
              <w:ind w:left="-23"/>
              <w:jc w:val="both"/>
              <w:rPr>
                <w:rFonts w:asciiTheme="minorHAnsi" w:hAnsiTheme="minorHAnsi" w:cstheme="minorHAnsi"/>
                <w:b/>
                <w:sz w:val="22"/>
                <w:szCs w:val="22"/>
              </w:rPr>
            </w:pPr>
            <w:r w:rsidRPr="00B677A8">
              <w:rPr>
                <w:rFonts w:asciiTheme="minorHAnsi" w:hAnsiTheme="minorHAnsi" w:cstheme="minorHAnsi"/>
                <w:b/>
                <w:sz w:val="22"/>
                <w:szCs w:val="22"/>
              </w:rPr>
              <w:t>Číslo dílčího cíle</w:t>
            </w:r>
          </w:p>
        </w:tc>
        <w:tc>
          <w:tcPr>
            <w:tcW w:w="1276" w:type="dxa"/>
            <w:vMerge w:val="restart"/>
          </w:tcPr>
          <w:p w:rsidR="008C6210" w:rsidRPr="00B677A8" w:rsidP="00C709C0" w14:paraId="3C5DFA20" w14:textId="76AF63EE">
            <w:pPr>
              <w:jc w:val="both"/>
              <w:rPr>
                <w:rFonts w:asciiTheme="minorHAnsi" w:hAnsiTheme="minorHAnsi" w:cstheme="minorHAnsi"/>
                <w:b/>
                <w:sz w:val="22"/>
                <w:szCs w:val="22"/>
              </w:rPr>
            </w:pPr>
            <w:r w:rsidRPr="00B677A8">
              <w:rPr>
                <w:rFonts w:asciiTheme="minorHAnsi" w:hAnsiTheme="minorHAnsi" w:cstheme="minorHAnsi"/>
                <w:b/>
                <w:sz w:val="22"/>
                <w:szCs w:val="22"/>
              </w:rPr>
              <w:t>Celkové předpokládané náklady na realizaci DC</w:t>
            </w:r>
          </w:p>
        </w:tc>
        <w:tc>
          <w:tcPr>
            <w:tcW w:w="1276" w:type="dxa"/>
            <w:vMerge w:val="restart"/>
          </w:tcPr>
          <w:p w:rsidR="008C6210" w:rsidRPr="00B677A8" w:rsidP="00514ECA" w14:paraId="44DBCC49" w14:textId="77777777">
            <w:pPr>
              <w:rPr>
                <w:rFonts w:asciiTheme="minorHAnsi" w:hAnsiTheme="minorHAnsi" w:cstheme="minorHAnsi"/>
                <w:b/>
                <w:sz w:val="22"/>
                <w:szCs w:val="22"/>
              </w:rPr>
            </w:pPr>
            <w:r w:rsidRPr="00B677A8">
              <w:rPr>
                <w:rFonts w:asciiTheme="minorHAnsi" w:hAnsiTheme="minorHAnsi" w:cstheme="minorHAnsi"/>
                <w:b/>
                <w:sz w:val="22"/>
                <w:szCs w:val="22"/>
              </w:rPr>
              <w:t>Typ nákladů</w:t>
            </w:r>
          </w:p>
          <w:p w:rsidR="008C6210" w:rsidRPr="00B677A8" w:rsidP="00514ECA" w14:paraId="36E71C0C" w14:textId="3F38DB1F">
            <w:pPr>
              <w:jc w:val="both"/>
              <w:rPr>
                <w:rFonts w:asciiTheme="minorHAnsi" w:hAnsiTheme="minorHAnsi" w:cstheme="minorHAnsi"/>
                <w:b/>
                <w:sz w:val="22"/>
                <w:szCs w:val="22"/>
              </w:rPr>
            </w:pPr>
            <w:r w:rsidRPr="00B677A8">
              <w:rPr>
                <w:rFonts w:asciiTheme="minorHAnsi" w:hAnsiTheme="minorHAnsi" w:cstheme="minorHAnsi"/>
                <w:b/>
                <w:sz w:val="22"/>
                <w:szCs w:val="22"/>
              </w:rPr>
              <w:t>(administrativní kapacity/provozní náklady/ investiční výdaje/účelové neinvestiční výdaje</w:t>
            </w:r>
          </w:p>
        </w:tc>
        <w:tc>
          <w:tcPr>
            <w:tcW w:w="1276" w:type="dxa"/>
            <w:vMerge w:val="restart"/>
          </w:tcPr>
          <w:p w:rsidR="008C6210" w:rsidRPr="00B677A8" w:rsidP="00C709C0" w14:paraId="7C517AFB" w14:textId="4C15A839">
            <w:pPr>
              <w:jc w:val="both"/>
              <w:rPr>
                <w:rFonts w:asciiTheme="minorHAnsi" w:hAnsiTheme="minorHAnsi" w:cstheme="minorHAnsi"/>
                <w:b/>
                <w:sz w:val="22"/>
                <w:szCs w:val="22"/>
              </w:rPr>
            </w:pPr>
            <w:r w:rsidRPr="00B677A8">
              <w:rPr>
                <w:rFonts w:asciiTheme="minorHAnsi" w:hAnsiTheme="minorHAnsi" w:cstheme="minorHAnsi"/>
                <w:b/>
                <w:sz w:val="22"/>
                <w:szCs w:val="22"/>
              </w:rPr>
              <w:t xml:space="preserve">Předpokládá se projektový záměr ANO/NE, </w:t>
            </w:r>
          </w:p>
        </w:tc>
        <w:tc>
          <w:tcPr>
            <w:tcW w:w="2268" w:type="dxa"/>
            <w:gridSpan w:val="2"/>
          </w:tcPr>
          <w:p w:rsidR="008C6210" w:rsidRPr="00B677A8" w:rsidP="00C709C0" w14:paraId="536E238D" w14:textId="77777777">
            <w:pPr>
              <w:jc w:val="both"/>
              <w:rPr>
                <w:rFonts w:asciiTheme="minorHAnsi" w:hAnsiTheme="minorHAnsi" w:cstheme="minorHAnsi"/>
                <w:b/>
                <w:sz w:val="22"/>
                <w:szCs w:val="22"/>
              </w:rPr>
            </w:pPr>
            <w:r w:rsidRPr="00B677A8">
              <w:rPr>
                <w:rFonts w:asciiTheme="minorHAnsi" w:hAnsiTheme="minorHAnsi" w:cstheme="minorHAnsi"/>
                <w:b/>
                <w:sz w:val="22"/>
                <w:szCs w:val="22"/>
              </w:rPr>
              <w:t>Předpokládané zdroje financování</w:t>
            </w:r>
          </w:p>
          <w:p w:rsidR="008C6210" w:rsidRPr="00B677A8" w:rsidP="00C709C0" w14:paraId="5CE7FBD3" w14:textId="4E725C4C">
            <w:pPr>
              <w:jc w:val="both"/>
              <w:rPr>
                <w:rFonts w:asciiTheme="minorHAnsi" w:hAnsiTheme="minorHAnsi" w:cstheme="minorHAnsi"/>
                <w:b/>
                <w:sz w:val="22"/>
                <w:szCs w:val="22"/>
              </w:rPr>
            </w:pPr>
            <w:r w:rsidRPr="00B677A8">
              <w:rPr>
                <w:rFonts w:asciiTheme="minorHAnsi" w:hAnsiTheme="minorHAnsi" w:cstheme="minorHAnsi"/>
                <w:b/>
                <w:sz w:val="22"/>
                <w:szCs w:val="22"/>
              </w:rPr>
              <w:t>(státní rozpočet/fondy zdrav. pojišťoven/programové financování- EF/“vyvolaný náklad“- pro úkol nejsou zabezpečeny zdroje ani personální kapacity)</w:t>
            </w:r>
          </w:p>
        </w:tc>
      </w:tr>
      <w:tr w14:paraId="5ECE86F0" w14:textId="77777777" w:rsidTr="00F77F6D">
        <w:tblPrEx>
          <w:tblW w:w="10109" w:type="dxa"/>
          <w:tblInd w:w="93" w:type="dxa"/>
          <w:tblLayout w:type="fixed"/>
          <w:tblCellMar>
            <w:left w:w="70" w:type="dxa"/>
            <w:right w:w="70" w:type="dxa"/>
          </w:tblCellMar>
          <w:tblLook w:val="0000"/>
        </w:tblPrEx>
        <w:trPr>
          <w:trHeight w:val="1342"/>
        </w:trPr>
        <w:tc>
          <w:tcPr>
            <w:tcW w:w="4013" w:type="dxa"/>
            <w:vMerge/>
          </w:tcPr>
          <w:p w:rsidR="008C6210" w:rsidRPr="00B677A8" w:rsidP="008C6210" w14:paraId="5800AA68" w14:textId="77777777">
            <w:pPr>
              <w:ind w:left="-23"/>
              <w:jc w:val="both"/>
              <w:rPr>
                <w:rFonts w:asciiTheme="minorHAnsi" w:hAnsiTheme="minorHAnsi" w:cstheme="minorHAnsi"/>
                <w:b/>
                <w:sz w:val="22"/>
                <w:szCs w:val="22"/>
              </w:rPr>
            </w:pPr>
          </w:p>
        </w:tc>
        <w:tc>
          <w:tcPr>
            <w:tcW w:w="1276" w:type="dxa"/>
            <w:vMerge/>
          </w:tcPr>
          <w:p w:rsidR="008C6210" w:rsidRPr="00B677A8" w:rsidP="008C6210" w14:paraId="2C964E8B" w14:textId="77777777">
            <w:pPr>
              <w:jc w:val="both"/>
              <w:rPr>
                <w:rFonts w:asciiTheme="minorHAnsi" w:hAnsiTheme="minorHAnsi" w:cstheme="minorHAnsi"/>
                <w:b/>
                <w:sz w:val="22"/>
                <w:szCs w:val="22"/>
              </w:rPr>
            </w:pPr>
          </w:p>
        </w:tc>
        <w:tc>
          <w:tcPr>
            <w:tcW w:w="1276" w:type="dxa"/>
            <w:vMerge/>
          </w:tcPr>
          <w:p w:rsidR="008C6210" w:rsidRPr="00B677A8" w:rsidP="008C6210" w14:paraId="1D500084" w14:textId="77777777">
            <w:pPr>
              <w:rPr>
                <w:rFonts w:asciiTheme="minorHAnsi" w:hAnsiTheme="minorHAnsi" w:cstheme="minorHAnsi"/>
                <w:b/>
                <w:sz w:val="22"/>
                <w:szCs w:val="22"/>
              </w:rPr>
            </w:pPr>
          </w:p>
        </w:tc>
        <w:tc>
          <w:tcPr>
            <w:tcW w:w="1276" w:type="dxa"/>
            <w:vMerge/>
          </w:tcPr>
          <w:p w:rsidR="008C6210" w:rsidRPr="00B677A8" w:rsidP="008C6210" w14:paraId="21308F83" w14:textId="77777777">
            <w:pPr>
              <w:jc w:val="both"/>
              <w:rPr>
                <w:rFonts w:asciiTheme="minorHAnsi" w:hAnsiTheme="minorHAnsi" w:cstheme="minorHAnsi"/>
                <w:b/>
                <w:sz w:val="22"/>
                <w:szCs w:val="22"/>
              </w:rPr>
            </w:pPr>
          </w:p>
        </w:tc>
        <w:tc>
          <w:tcPr>
            <w:tcW w:w="1134" w:type="dxa"/>
          </w:tcPr>
          <w:p w:rsidR="008C6210" w:rsidRPr="00B677A8" w:rsidP="008C6210" w14:paraId="153EEDB2" w14:textId="687F3401">
            <w:pPr>
              <w:jc w:val="both"/>
              <w:rPr>
                <w:rFonts w:asciiTheme="minorHAnsi" w:hAnsiTheme="minorHAnsi" w:cstheme="minorHAnsi"/>
                <w:b/>
                <w:sz w:val="22"/>
                <w:szCs w:val="22"/>
              </w:rPr>
            </w:pPr>
            <w:r w:rsidRPr="00B677A8">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3"/>
            </w:r>
          </w:p>
        </w:tc>
        <w:tc>
          <w:tcPr>
            <w:tcW w:w="1134" w:type="dxa"/>
          </w:tcPr>
          <w:p w:rsidR="008C6210" w:rsidRPr="00B677A8" w:rsidP="008C6210" w14:paraId="5EFE59F9" w14:textId="623DC666">
            <w:pPr>
              <w:jc w:val="both"/>
              <w:rPr>
                <w:rFonts w:asciiTheme="minorHAnsi" w:hAnsiTheme="minorHAnsi" w:cstheme="minorHAnsi"/>
                <w:b/>
                <w:sz w:val="22"/>
                <w:szCs w:val="22"/>
              </w:rPr>
            </w:pPr>
            <w:r w:rsidRPr="00B677A8">
              <w:rPr>
                <w:rFonts w:asciiTheme="minorHAnsi" w:hAnsiTheme="minorHAnsi" w:cstheme="minorHAnsi"/>
                <w:b/>
                <w:sz w:val="22"/>
                <w:szCs w:val="22"/>
              </w:rPr>
              <w:t>Další nutné zdroje</w:t>
            </w:r>
          </w:p>
        </w:tc>
      </w:tr>
      <w:tr w14:paraId="5D549735" w14:textId="77777777" w:rsidTr="00801762">
        <w:tblPrEx>
          <w:tblW w:w="10109" w:type="dxa"/>
          <w:tblInd w:w="93" w:type="dxa"/>
          <w:tblLayout w:type="fixed"/>
          <w:tblCellMar>
            <w:left w:w="70" w:type="dxa"/>
            <w:right w:w="70" w:type="dxa"/>
          </w:tblCellMar>
          <w:tblLook w:val="0000"/>
        </w:tblPrEx>
        <w:trPr>
          <w:trHeight w:val="482"/>
        </w:trPr>
        <w:tc>
          <w:tcPr>
            <w:tcW w:w="4013" w:type="dxa"/>
          </w:tcPr>
          <w:p w:rsidR="008C6210" w:rsidRPr="00B677A8" w:rsidP="00C709C0" w14:paraId="0FF086A3" w14:textId="77777777">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w:t>
            </w:r>
          </w:p>
          <w:p w:rsidR="008C6210" w:rsidRPr="00B677A8" w:rsidP="00C709C0" w14:paraId="5E15AC15" w14:textId="1969DB35">
            <w:pPr>
              <w:ind w:left="-23"/>
              <w:jc w:val="both"/>
              <w:rPr>
                <w:rFonts w:asciiTheme="minorHAnsi" w:hAnsiTheme="minorHAnsi" w:cstheme="minorHAnsi"/>
                <w:bCs/>
                <w:sz w:val="22"/>
                <w:szCs w:val="22"/>
              </w:rPr>
            </w:pPr>
            <w:r w:rsidRPr="00B677A8">
              <w:rPr>
                <w:rFonts w:asciiTheme="minorHAnsi" w:hAnsiTheme="minorHAnsi" w:cstheme="minorHAnsi"/>
                <w:bCs/>
                <w:sz w:val="22"/>
                <w:szCs w:val="22"/>
              </w:rPr>
              <w:t>Rozvoj a implementace koncepce digitalizace zdravotnictví, institucionalizace elektronického zdravotnictví</w:t>
            </w:r>
          </w:p>
        </w:tc>
        <w:tc>
          <w:tcPr>
            <w:tcW w:w="1276" w:type="dxa"/>
          </w:tcPr>
          <w:p w:rsidR="008C6210" w:rsidRPr="00B677A8" w:rsidP="00C709C0" w14:paraId="00778AFB" w14:textId="35A36B54">
            <w:pPr>
              <w:jc w:val="both"/>
              <w:rPr>
                <w:rFonts w:asciiTheme="minorHAnsi" w:hAnsiTheme="minorHAnsi" w:cstheme="minorHAnsi"/>
                <w:bCs/>
                <w:sz w:val="22"/>
                <w:szCs w:val="22"/>
              </w:rPr>
            </w:pPr>
            <w:r w:rsidRPr="00B677A8">
              <w:rPr>
                <w:rFonts w:asciiTheme="minorHAnsi" w:hAnsiTheme="minorHAnsi" w:cstheme="minorHAnsi"/>
                <w:bCs/>
                <w:sz w:val="22"/>
                <w:szCs w:val="22"/>
              </w:rPr>
              <w:t>10 000</w:t>
            </w:r>
            <w:r w:rsidRPr="00B677A8" w:rsidR="00AE1B61">
              <w:rPr>
                <w:rFonts w:asciiTheme="minorHAnsi" w:hAnsiTheme="minorHAnsi" w:cstheme="minorHAnsi"/>
                <w:bCs/>
                <w:sz w:val="22"/>
                <w:szCs w:val="22"/>
              </w:rPr>
              <w:t xml:space="preserve"> mil Kč</w:t>
            </w:r>
          </w:p>
        </w:tc>
        <w:tc>
          <w:tcPr>
            <w:tcW w:w="1276" w:type="dxa"/>
          </w:tcPr>
          <w:p w:rsidR="008C6210" w:rsidRPr="00B677A8" w:rsidP="00C709C0" w14:paraId="38BEDC22" w14:textId="5F71FE30">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w:t>
            </w:r>
            <w:r w:rsidRPr="00B677A8" w:rsidR="008B15CB">
              <w:rPr>
                <w:rFonts w:asciiTheme="minorHAnsi" w:hAnsiTheme="minorHAnsi" w:cstheme="minorHAnsi"/>
                <w:bCs/>
                <w:sz w:val="22"/>
                <w:szCs w:val="22"/>
              </w:rPr>
              <w:t>, provozní</w:t>
            </w:r>
            <w:r w:rsidRPr="00B677A8">
              <w:rPr>
                <w:rFonts w:asciiTheme="minorHAnsi" w:hAnsiTheme="minorHAnsi" w:cstheme="minorHAnsi"/>
                <w:bCs/>
                <w:sz w:val="22"/>
                <w:szCs w:val="22"/>
              </w:rPr>
              <w:t xml:space="preserve"> </w:t>
            </w:r>
          </w:p>
        </w:tc>
        <w:tc>
          <w:tcPr>
            <w:tcW w:w="1276" w:type="dxa"/>
          </w:tcPr>
          <w:p w:rsidR="008C6210" w:rsidRPr="00B677A8" w:rsidP="00C709C0" w14:paraId="051B8180" w14:textId="595950A1">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C709C0" w14:paraId="1553D367" w14:textId="094D02DF">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 jiné zdroje (finanční mechanismy EU, CEF, Horizon Europe)</w:t>
            </w:r>
          </w:p>
        </w:tc>
        <w:tc>
          <w:tcPr>
            <w:tcW w:w="1134" w:type="dxa"/>
          </w:tcPr>
          <w:p w:rsidR="008C6210" w:rsidRPr="00B677A8" w:rsidP="00C709C0" w14:paraId="0B43B577" w14:textId="1CA2C2CC">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1D29B4BC" w14:textId="77777777" w:rsidTr="00BC56CC">
        <w:tblPrEx>
          <w:tblW w:w="10109" w:type="dxa"/>
          <w:tblInd w:w="93" w:type="dxa"/>
          <w:tblLayout w:type="fixed"/>
          <w:tblCellMar>
            <w:left w:w="70" w:type="dxa"/>
            <w:right w:w="70" w:type="dxa"/>
          </w:tblCellMar>
          <w:tblLook w:val="0000"/>
        </w:tblPrEx>
        <w:trPr>
          <w:trHeight w:val="471"/>
        </w:trPr>
        <w:tc>
          <w:tcPr>
            <w:tcW w:w="4013" w:type="dxa"/>
          </w:tcPr>
          <w:p w:rsidR="008C6210" w:rsidRPr="00B677A8" w:rsidP="008C6210" w14:paraId="64325081" w14:textId="77777777">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2.3.2</w:t>
            </w:r>
          </w:p>
          <w:p w:rsidR="008C6210" w:rsidRPr="00B677A8" w:rsidP="008C6210" w14:paraId="1139C258" w14:textId="28389070">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centrální infrastruktury pro sdílení zdravotnické dokumentace, zaručenou a </w:t>
            </w:r>
            <w:r w:rsidRPr="00B677A8">
              <w:rPr>
                <w:rFonts w:asciiTheme="minorHAnsi" w:hAnsiTheme="minorHAnsi" w:cstheme="minorHAnsi"/>
                <w:bCs/>
                <w:sz w:val="22"/>
                <w:szCs w:val="22"/>
              </w:rPr>
              <w:t>bezpečnou komunikaci a výměnu informací ve zdravotnictví</w:t>
            </w:r>
          </w:p>
        </w:tc>
        <w:tc>
          <w:tcPr>
            <w:tcW w:w="1276" w:type="dxa"/>
          </w:tcPr>
          <w:p w:rsidR="008C6210" w:rsidRPr="00B677A8" w:rsidP="008C6210" w14:paraId="6FE167A2" w14:textId="52770588">
            <w:pPr>
              <w:jc w:val="both"/>
              <w:rPr>
                <w:rFonts w:asciiTheme="minorHAnsi" w:hAnsiTheme="minorHAnsi" w:cstheme="minorHAnsi"/>
                <w:bCs/>
                <w:sz w:val="22"/>
                <w:szCs w:val="22"/>
              </w:rPr>
            </w:pPr>
            <w:r w:rsidRPr="00B677A8">
              <w:rPr>
                <w:rFonts w:asciiTheme="minorHAnsi" w:hAnsiTheme="minorHAnsi" w:cstheme="minorHAnsi"/>
                <w:bCs/>
                <w:sz w:val="22"/>
                <w:szCs w:val="22"/>
              </w:rPr>
              <w:t>1 </w:t>
            </w:r>
            <w:r w:rsidRPr="00B677A8" w:rsidR="000761C3">
              <w:rPr>
                <w:rFonts w:asciiTheme="minorHAnsi" w:hAnsiTheme="minorHAnsi" w:cstheme="minorHAnsi"/>
                <w:bCs/>
                <w:sz w:val="22"/>
                <w:szCs w:val="22"/>
              </w:rPr>
              <w:t>5</w:t>
            </w:r>
            <w:r w:rsidRPr="00B677A8">
              <w:rPr>
                <w:rFonts w:asciiTheme="minorHAnsi" w:hAnsiTheme="minorHAnsi" w:cstheme="minorHAnsi"/>
                <w:bCs/>
                <w:sz w:val="22"/>
                <w:szCs w:val="22"/>
              </w:rPr>
              <w:t>96 mil. Kč</w:t>
            </w:r>
          </w:p>
        </w:tc>
        <w:tc>
          <w:tcPr>
            <w:tcW w:w="1276" w:type="dxa"/>
          </w:tcPr>
          <w:p w:rsidR="008C6210" w:rsidRPr="00B677A8" w:rsidP="008C6210" w14:paraId="35E582CD" w14:textId="01EA777A">
            <w:pPr>
              <w:jc w:val="both"/>
              <w:rPr>
                <w:rFonts w:asciiTheme="minorHAnsi" w:hAnsiTheme="minorHAnsi" w:cstheme="minorHAnsi"/>
                <w:bCs/>
                <w:sz w:val="22"/>
                <w:szCs w:val="22"/>
              </w:rPr>
            </w:pPr>
            <w:r w:rsidRPr="00B677A8">
              <w:rPr>
                <w:rFonts w:asciiTheme="minorHAnsi" w:hAnsiTheme="minorHAnsi" w:cstheme="minorHAnsi"/>
                <w:bCs/>
                <w:sz w:val="22"/>
                <w:szCs w:val="22"/>
              </w:rPr>
              <w:t>Provozní, investiční</w:t>
            </w:r>
          </w:p>
        </w:tc>
        <w:tc>
          <w:tcPr>
            <w:tcW w:w="1276" w:type="dxa"/>
          </w:tcPr>
          <w:p w:rsidR="008C6210" w:rsidRPr="00B677A8" w:rsidP="008C6210" w14:paraId="35519E80" w14:textId="0D0FE589">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3750FD73" w14:textId="2B7CA439">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Pr>
          <w:p w:rsidR="008C6210" w:rsidRPr="00B677A8" w:rsidP="008C6210" w14:paraId="173A56AA" w14:textId="26ACE2E6">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2979C8E6" w14:textId="77777777" w:rsidTr="00481F9E">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203167A9" w14:textId="77777777">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2.3.3</w:t>
            </w:r>
          </w:p>
          <w:p w:rsidR="008C6210" w:rsidRPr="00B677A8" w:rsidP="008C6210" w14:paraId="64075B39" w14:textId="1CEE0187">
            <w:pPr>
              <w:ind w:left="-23"/>
              <w:jc w:val="both"/>
              <w:rPr>
                <w:rFonts w:asciiTheme="minorHAnsi" w:hAnsiTheme="minorHAnsi" w:cstheme="minorHAnsi"/>
                <w:bCs/>
                <w:sz w:val="22"/>
                <w:szCs w:val="22"/>
              </w:rPr>
            </w:pPr>
            <w:r w:rsidRPr="00B677A8">
              <w:rPr>
                <w:rFonts w:asciiTheme="minorHAnsi" w:hAnsiTheme="minorHAnsi" w:cstheme="minorHAnsi"/>
                <w:bCs/>
                <w:sz w:val="22"/>
                <w:szCs w:val="22"/>
              </w:rPr>
              <w:t>Rozvoj systému poskytování služeb autoritativních údajů, resortních autoritativních registrů a modelu zaručených dat</w:t>
            </w:r>
          </w:p>
        </w:tc>
        <w:tc>
          <w:tcPr>
            <w:tcW w:w="1276" w:type="dxa"/>
          </w:tcPr>
          <w:p w:rsidR="008C6210" w:rsidRPr="00B677A8" w:rsidP="008C6210" w14:paraId="09438C20" w14:textId="3B1C1277">
            <w:pPr>
              <w:jc w:val="both"/>
              <w:rPr>
                <w:rFonts w:asciiTheme="minorHAnsi" w:hAnsiTheme="minorHAnsi" w:cstheme="minorHAnsi"/>
                <w:bCs/>
                <w:sz w:val="22"/>
                <w:szCs w:val="22"/>
              </w:rPr>
            </w:pPr>
            <w:r w:rsidRPr="00B677A8">
              <w:rPr>
                <w:rFonts w:asciiTheme="minorHAnsi" w:hAnsiTheme="minorHAnsi" w:cstheme="minorHAnsi"/>
                <w:bCs/>
                <w:sz w:val="22"/>
                <w:szCs w:val="22"/>
              </w:rPr>
              <w:t>4</w:t>
            </w:r>
            <w:r w:rsidRPr="00B677A8">
              <w:rPr>
                <w:rFonts w:asciiTheme="minorHAnsi" w:hAnsiTheme="minorHAnsi" w:cstheme="minorHAnsi"/>
                <w:bCs/>
                <w:sz w:val="22"/>
                <w:szCs w:val="22"/>
              </w:rPr>
              <w:t>00 mil. Kč</w:t>
            </w:r>
          </w:p>
        </w:tc>
        <w:tc>
          <w:tcPr>
            <w:tcW w:w="1276" w:type="dxa"/>
          </w:tcPr>
          <w:p w:rsidR="008C6210" w:rsidRPr="00B677A8" w:rsidP="008C6210" w14:paraId="2EAC8E6E" w14:textId="49AD20DC">
            <w:pPr>
              <w:jc w:val="both"/>
              <w:rPr>
                <w:rFonts w:asciiTheme="minorHAnsi" w:hAnsiTheme="minorHAnsi" w:cstheme="minorHAnsi"/>
                <w:bCs/>
                <w:sz w:val="22"/>
                <w:szCs w:val="22"/>
              </w:rPr>
            </w:pPr>
            <w:r w:rsidRPr="00B677A8">
              <w:rPr>
                <w:rFonts w:asciiTheme="minorHAnsi" w:hAnsiTheme="minorHAnsi" w:cstheme="minorHAnsi"/>
                <w:bCs/>
                <w:sz w:val="22"/>
                <w:szCs w:val="22"/>
              </w:rPr>
              <w:t>Provozní, investiční</w:t>
            </w:r>
          </w:p>
        </w:tc>
        <w:tc>
          <w:tcPr>
            <w:tcW w:w="1276" w:type="dxa"/>
          </w:tcPr>
          <w:p w:rsidR="008C6210" w:rsidRPr="00B677A8" w:rsidP="008C6210" w14:paraId="7F63691C" w14:textId="40D7B7A2">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78E63ADB" w14:textId="2217E268">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Pr>
          <w:p w:rsidR="008C6210" w:rsidRPr="00B677A8" w:rsidP="008C6210" w14:paraId="23C44DEF" w14:textId="3018030B">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r w:rsidRPr="00B677A8" w:rsidR="00AF1E99">
              <w:rPr>
                <w:rFonts w:asciiTheme="minorHAnsi" w:hAnsiTheme="minorHAnsi" w:cstheme="minorHAnsi"/>
                <w:bCs/>
                <w:sz w:val="22"/>
                <w:szCs w:val="22"/>
              </w:rPr>
              <w:t>, EU fondy</w:t>
            </w:r>
          </w:p>
        </w:tc>
      </w:tr>
      <w:tr w14:paraId="63F54A32" w14:textId="77777777" w:rsidTr="002B1B44">
        <w:tblPrEx>
          <w:tblW w:w="10109" w:type="dxa"/>
          <w:tblInd w:w="93" w:type="dxa"/>
          <w:tblLayout w:type="fixed"/>
          <w:tblCellMar>
            <w:left w:w="70" w:type="dxa"/>
            <w:right w:w="70" w:type="dxa"/>
          </w:tblCellMar>
          <w:tblLook w:val="0000"/>
        </w:tblPrEx>
        <w:trPr>
          <w:trHeight w:val="395"/>
        </w:trPr>
        <w:tc>
          <w:tcPr>
            <w:tcW w:w="4013" w:type="dxa"/>
          </w:tcPr>
          <w:p w:rsidR="008C6210" w:rsidRPr="00B677A8" w:rsidP="00C709C0" w14:paraId="363F194D" w14:textId="77777777">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2.3.4</w:t>
            </w:r>
          </w:p>
          <w:p w:rsidR="008C6210" w:rsidRPr="00B677A8" w:rsidP="00C709C0" w14:paraId="401CE0D1" w14:textId="061799F4">
            <w:pPr>
              <w:ind w:left="-23"/>
              <w:jc w:val="both"/>
              <w:rPr>
                <w:rFonts w:asciiTheme="minorHAnsi" w:hAnsiTheme="minorHAnsi" w:cstheme="minorHAnsi"/>
                <w:bCs/>
                <w:sz w:val="22"/>
                <w:szCs w:val="22"/>
              </w:rPr>
            </w:pPr>
            <w:r w:rsidRPr="00B677A8">
              <w:rPr>
                <w:rFonts w:asciiTheme="minorHAnsi" w:hAnsiTheme="minorHAnsi" w:cstheme="minorHAnsi"/>
                <w:bCs/>
                <w:sz w:val="22"/>
                <w:szCs w:val="22"/>
              </w:rPr>
              <w:t>Rozvoj Národního zdravotnického informačního systému</w:t>
            </w:r>
          </w:p>
        </w:tc>
        <w:tc>
          <w:tcPr>
            <w:tcW w:w="1276" w:type="dxa"/>
            <w:tcBorders>
              <w:bottom w:val="single" w:sz="4" w:space="0" w:color="auto"/>
            </w:tcBorders>
          </w:tcPr>
          <w:p w:rsidR="008C6210" w:rsidRPr="00B677A8" w:rsidP="00C709C0" w14:paraId="2EE993C9"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760 mil. Kč</w:t>
            </w:r>
          </w:p>
        </w:tc>
        <w:tc>
          <w:tcPr>
            <w:tcW w:w="1276" w:type="dxa"/>
            <w:tcBorders>
              <w:bottom w:val="single" w:sz="4" w:space="0" w:color="auto"/>
            </w:tcBorders>
          </w:tcPr>
          <w:p w:rsidR="008C6210" w:rsidRPr="00B677A8" w:rsidP="00C709C0" w14:paraId="49AC4133" w14:textId="5C8A9EDB">
            <w:pPr>
              <w:jc w:val="both"/>
              <w:rPr>
                <w:rFonts w:asciiTheme="minorHAnsi" w:hAnsiTheme="minorHAnsi" w:cstheme="minorHAnsi"/>
                <w:bCs/>
                <w:sz w:val="22"/>
                <w:szCs w:val="22"/>
              </w:rPr>
            </w:pPr>
            <w:r w:rsidRPr="00B677A8">
              <w:rPr>
                <w:rFonts w:asciiTheme="minorHAnsi" w:hAnsiTheme="minorHAnsi" w:cstheme="minorHAnsi"/>
                <w:bCs/>
                <w:sz w:val="22"/>
                <w:szCs w:val="22"/>
              </w:rPr>
              <w:t>Provozní, investiční</w:t>
            </w:r>
          </w:p>
        </w:tc>
        <w:tc>
          <w:tcPr>
            <w:tcW w:w="1276" w:type="dxa"/>
            <w:tcBorders>
              <w:bottom w:val="single" w:sz="4" w:space="0" w:color="auto"/>
            </w:tcBorders>
          </w:tcPr>
          <w:p w:rsidR="008C6210" w:rsidRPr="00B677A8" w:rsidP="00C709C0" w14:paraId="51D74209" w14:textId="2CE0DDDD">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Borders>
              <w:bottom w:val="single" w:sz="4" w:space="0" w:color="auto"/>
            </w:tcBorders>
          </w:tcPr>
          <w:p w:rsidR="008C6210" w:rsidRPr="00B677A8" w:rsidP="00C709C0" w14:paraId="1C770ED2" w14:textId="783BF5E8">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Borders>
              <w:bottom w:val="single" w:sz="4" w:space="0" w:color="auto"/>
            </w:tcBorders>
          </w:tcPr>
          <w:p w:rsidR="008C6210" w:rsidRPr="00B677A8" w:rsidP="00C709C0" w14:paraId="4A0D4011" w14:textId="4E81BFD7">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55692C6A" w14:textId="77777777" w:rsidTr="005333D6">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0FE9059C" w14:textId="065FDE04">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2.3.5</w:t>
            </w:r>
          </w:p>
          <w:p w:rsidR="008C6210" w:rsidRPr="00B677A8" w:rsidP="008C6210" w14:paraId="10EC8FF0" w14:textId="1AD634A8">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Správa systému s rozvojem katalogu služeb elektronického zdravotnictví</w:t>
            </w:r>
          </w:p>
        </w:tc>
        <w:tc>
          <w:tcPr>
            <w:tcW w:w="1276" w:type="dxa"/>
          </w:tcPr>
          <w:p w:rsidR="008C6210" w:rsidRPr="00B677A8" w:rsidP="008C6210" w14:paraId="5E5AAFB8" w14:textId="3EFD33D3">
            <w:pPr>
              <w:jc w:val="both"/>
              <w:rPr>
                <w:rFonts w:asciiTheme="minorHAnsi" w:hAnsiTheme="minorHAnsi" w:cstheme="minorHAnsi"/>
                <w:bCs/>
                <w:sz w:val="22"/>
                <w:szCs w:val="22"/>
              </w:rPr>
            </w:pPr>
            <w:r w:rsidRPr="00B677A8">
              <w:rPr>
                <w:rFonts w:asciiTheme="minorHAnsi" w:hAnsiTheme="minorHAnsi" w:cstheme="minorHAnsi"/>
                <w:bCs/>
                <w:sz w:val="22"/>
                <w:szCs w:val="22"/>
              </w:rPr>
              <w:t>25</w:t>
            </w:r>
            <w:r w:rsidRPr="00B677A8">
              <w:rPr>
                <w:rFonts w:asciiTheme="minorHAnsi" w:hAnsiTheme="minorHAnsi" w:cstheme="minorHAnsi"/>
                <w:bCs/>
                <w:sz w:val="22"/>
                <w:szCs w:val="22"/>
              </w:rPr>
              <w:t>0 mil. Kč</w:t>
            </w:r>
          </w:p>
        </w:tc>
        <w:tc>
          <w:tcPr>
            <w:tcW w:w="1276" w:type="dxa"/>
          </w:tcPr>
          <w:p w:rsidR="008C6210" w:rsidRPr="00B677A8" w:rsidP="008C6210" w14:paraId="4ECFF102" w14:textId="10C4FEEC">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w:t>
            </w:r>
            <w:r w:rsidRPr="00B677A8" w:rsidR="004B3AB1">
              <w:rPr>
                <w:rFonts w:asciiTheme="minorHAnsi" w:hAnsiTheme="minorHAnsi" w:cstheme="minorHAnsi"/>
                <w:bCs/>
                <w:sz w:val="22"/>
                <w:szCs w:val="22"/>
              </w:rPr>
              <w:t>rovozní, investiční</w:t>
            </w:r>
          </w:p>
        </w:tc>
        <w:tc>
          <w:tcPr>
            <w:tcW w:w="1276" w:type="dxa"/>
          </w:tcPr>
          <w:p w:rsidR="008C6210" w:rsidRPr="00B677A8" w:rsidP="008C6210" w14:paraId="58141543" w14:textId="0A17D195">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2F5C38FF" w14:textId="10EA0724">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Pr>
          <w:p w:rsidR="008C6210" w:rsidRPr="00B677A8" w:rsidP="008C6210" w14:paraId="15808901" w14:textId="5EBB8277">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1DBD1E0C" w14:textId="77777777" w:rsidTr="0070303A">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02C3517A" w14:textId="2EEA7735">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2.3.6</w:t>
            </w:r>
          </w:p>
          <w:p w:rsidR="008C6210" w:rsidRPr="00B677A8" w:rsidP="008C6210" w14:paraId="3ED9BFD7" w14:textId="5DD8C021">
            <w:pPr>
              <w:ind w:left="-23"/>
              <w:jc w:val="both"/>
              <w:rPr>
                <w:rFonts w:asciiTheme="minorHAnsi" w:hAnsiTheme="minorHAnsi" w:cstheme="minorHAnsi"/>
                <w:bCs/>
                <w:sz w:val="22"/>
                <w:szCs w:val="22"/>
              </w:rPr>
            </w:pPr>
            <w:r w:rsidRPr="00B677A8">
              <w:rPr>
                <w:rFonts w:asciiTheme="minorHAnsi" w:hAnsiTheme="minorHAnsi" w:cstheme="minorHAnsi"/>
                <w:bCs/>
                <w:sz w:val="22"/>
                <w:szCs w:val="22"/>
              </w:rPr>
              <w:t>Podpora využívání a standardizace nástrojů elektronického zdravotnictví</w:t>
            </w:r>
          </w:p>
        </w:tc>
        <w:tc>
          <w:tcPr>
            <w:tcW w:w="1276" w:type="dxa"/>
          </w:tcPr>
          <w:p w:rsidR="008C6210" w:rsidRPr="00B677A8" w:rsidP="008C6210" w14:paraId="42A17312" w14:textId="12BA0244">
            <w:pPr>
              <w:jc w:val="both"/>
              <w:rPr>
                <w:rFonts w:asciiTheme="minorHAnsi" w:hAnsiTheme="minorHAnsi" w:cstheme="minorHAnsi"/>
                <w:bCs/>
                <w:sz w:val="22"/>
                <w:szCs w:val="22"/>
              </w:rPr>
            </w:pPr>
            <w:r w:rsidRPr="00B677A8">
              <w:rPr>
                <w:rFonts w:asciiTheme="minorHAnsi" w:hAnsiTheme="minorHAnsi" w:cstheme="minorHAnsi"/>
                <w:bCs/>
                <w:sz w:val="22"/>
                <w:szCs w:val="22"/>
              </w:rPr>
              <w:t>5</w:t>
            </w:r>
            <w:r w:rsidRPr="00B677A8">
              <w:rPr>
                <w:rFonts w:asciiTheme="minorHAnsi" w:hAnsiTheme="minorHAnsi" w:cstheme="minorHAnsi"/>
                <w:bCs/>
                <w:sz w:val="22"/>
                <w:szCs w:val="22"/>
              </w:rPr>
              <w:t>00 mil. Kč</w:t>
            </w:r>
          </w:p>
        </w:tc>
        <w:tc>
          <w:tcPr>
            <w:tcW w:w="1276" w:type="dxa"/>
          </w:tcPr>
          <w:p w:rsidR="008C6210" w:rsidRPr="00B677A8" w:rsidP="008C6210" w14:paraId="18232ED3" w14:textId="7B3F63AA">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w:t>
            </w:r>
            <w:r w:rsidRPr="00B677A8" w:rsidR="00395D78">
              <w:rPr>
                <w:rFonts w:asciiTheme="minorHAnsi" w:hAnsiTheme="minorHAnsi" w:cstheme="minorHAnsi"/>
                <w:bCs/>
                <w:sz w:val="22"/>
                <w:szCs w:val="22"/>
              </w:rPr>
              <w:t>, provozní</w:t>
            </w:r>
          </w:p>
        </w:tc>
        <w:tc>
          <w:tcPr>
            <w:tcW w:w="1276" w:type="dxa"/>
          </w:tcPr>
          <w:p w:rsidR="008C6210" w:rsidRPr="00B677A8" w:rsidP="008C6210" w14:paraId="46C85CD2" w14:textId="1A5DB631">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34AE293F"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p w:rsidR="008C6210" w:rsidRPr="00B677A8" w:rsidP="008C6210" w14:paraId="5FA5CA8A" w14:textId="100AD2E6">
            <w:pPr>
              <w:jc w:val="both"/>
              <w:rPr>
                <w:rFonts w:asciiTheme="minorHAnsi" w:hAnsiTheme="minorHAnsi" w:cstheme="minorHAnsi"/>
                <w:bCs/>
                <w:sz w:val="22"/>
                <w:szCs w:val="22"/>
              </w:rPr>
            </w:pPr>
            <w:r w:rsidRPr="00B677A8">
              <w:rPr>
                <w:rFonts w:asciiTheme="minorHAnsi" w:hAnsiTheme="minorHAnsi" w:cstheme="minorHAnsi"/>
                <w:bCs/>
                <w:sz w:val="22"/>
                <w:szCs w:val="22"/>
              </w:rPr>
              <w:t>fondy EU, jiné zdroje (finanční mechanismy EU, CEF, Horizon Europe)</w:t>
            </w:r>
          </w:p>
        </w:tc>
        <w:tc>
          <w:tcPr>
            <w:tcW w:w="1134" w:type="dxa"/>
          </w:tcPr>
          <w:p w:rsidR="008C6210" w:rsidRPr="00B677A8" w:rsidP="008C6210" w14:paraId="0F9DB19E" w14:textId="64F51C5C">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r w:rsidRPr="00B677A8" w:rsidR="002A653E">
              <w:rPr>
                <w:rFonts w:asciiTheme="minorHAnsi" w:hAnsiTheme="minorHAnsi" w:cstheme="minorHAnsi"/>
                <w:bCs/>
                <w:sz w:val="22"/>
                <w:szCs w:val="22"/>
              </w:rPr>
              <w:t>, EU fondy</w:t>
            </w:r>
          </w:p>
        </w:tc>
      </w:tr>
      <w:tr w14:paraId="7AD0B0D4" w14:textId="77777777" w:rsidTr="00056CB3">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70A56408" w14:textId="00D8B736">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2.3.7</w:t>
            </w:r>
          </w:p>
          <w:p w:rsidR="008C6210" w:rsidRPr="00B677A8" w:rsidP="008C6210" w14:paraId="7B366861" w14:textId="63ACFDCF">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Podpora využití nových digitálních technologií a postupů v oblasti personalizované medicíny, domácí péče, integrované péče</w:t>
            </w:r>
          </w:p>
        </w:tc>
        <w:tc>
          <w:tcPr>
            <w:tcW w:w="1276" w:type="dxa"/>
          </w:tcPr>
          <w:p w:rsidR="008C6210" w:rsidRPr="00B677A8" w:rsidP="008C6210" w14:paraId="714F5004"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380 mil. Kč</w:t>
            </w:r>
          </w:p>
        </w:tc>
        <w:tc>
          <w:tcPr>
            <w:tcW w:w="1276" w:type="dxa"/>
          </w:tcPr>
          <w:p w:rsidR="008C6210" w:rsidRPr="00B677A8" w:rsidP="008C6210" w14:paraId="4E3CFC87" w14:textId="0FB251EA">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 investiční</w:t>
            </w:r>
          </w:p>
        </w:tc>
        <w:tc>
          <w:tcPr>
            <w:tcW w:w="1276" w:type="dxa"/>
          </w:tcPr>
          <w:p w:rsidR="008C6210" w:rsidRPr="00B677A8" w:rsidP="008C6210" w14:paraId="0ABD902F" w14:textId="18C810E6">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6F35FE09" w14:textId="61D10A18">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r w:rsidRPr="00B677A8" w:rsidR="005410EE">
              <w:rPr>
                <w:rFonts w:asciiTheme="minorHAnsi" w:hAnsiTheme="minorHAnsi" w:cstheme="minorHAnsi"/>
                <w:bCs/>
                <w:sz w:val="22"/>
                <w:szCs w:val="22"/>
              </w:rPr>
              <w:t xml:space="preserve"> (NPO)</w:t>
            </w:r>
          </w:p>
        </w:tc>
        <w:tc>
          <w:tcPr>
            <w:tcW w:w="1134" w:type="dxa"/>
          </w:tcPr>
          <w:p w:rsidR="008C6210" w:rsidRPr="00B677A8" w:rsidP="008C6210" w14:paraId="25510FC0" w14:textId="20582579">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Státní rozpočet, </w:t>
            </w:r>
            <w:r w:rsidRPr="00B677A8" w:rsidR="007B28BD">
              <w:rPr>
                <w:rFonts w:asciiTheme="minorHAnsi" w:hAnsiTheme="minorHAnsi" w:cstheme="minorHAnsi"/>
                <w:bCs/>
                <w:sz w:val="22"/>
                <w:szCs w:val="22"/>
              </w:rPr>
              <w:t>z</w:t>
            </w:r>
            <w:r w:rsidRPr="00B677A8">
              <w:rPr>
                <w:rFonts w:asciiTheme="minorHAnsi" w:hAnsiTheme="minorHAnsi" w:cstheme="minorHAnsi"/>
                <w:bCs/>
                <w:sz w:val="22"/>
                <w:szCs w:val="22"/>
              </w:rPr>
              <w:t>dravotní pojišťovny</w:t>
            </w:r>
          </w:p>
        </w:tc>
      </w:tr>
      <w:tr w14:paraId="4EAC13A5" w14:textId="77777777" w:rsidTr="00282722">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3F00BC43" w14:textId="5061C6BF">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2.3.8</w:t>
            </w:r>
          </w:p>
          <w:p w:rsidR="008C6210" w:rsidRPr="00B677A8" w:rsidP="008C6210" w14:paraId="331CAF99" w14:textId="3F40CB7F">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Podpora využití umělé inteligence ve zdravotnictví a implementace na ní založených služeb</w:t>
            </w:r>
          </w:p>
        </w:tc>
        <w:tc>
          <w:tcPr>
            <w:tcW w:w="1276" w:type="dxa"/>
          </w:tcPr>
          <w:p w:rsidR="008C6210" w:rsidRPr="00B677A8" w:rsidP="008C6210" w14:paraId="6E8960B6"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500 mil. Kč</w:t>
            </w:r>
          </w:p>
        </w:tc>
        <w:tc>
          <w:tcPr>
            <w:tcW w:w="1276" w:type="dxa"/>
          </w:tcPr>
          <w:p w:rsidR="008C6210" w:rsidRPr="00B677A8" w:rsidP="008C6210" w14:paraId="5982D3F8" w14:textId="7BB16B5A">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w:t>
            </w:r>
          </w:p>
        </w:tc>
        <w:tc>
          <w:tcPr>
            <w:tcW w:w="1276" w:type="dxa"/>
          </w:tcPr>
          <w:p w:rsidR="008C6210" w:rsidRPr="00B677A8" w:rsidP="008C6210" w14:paraId="2750280B" w14:textId="14B0B0FF">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5ABCA239" w14:textId="0F049F43">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Pr>
          <w:p w:rsidR="008C6210" w:rsidRPr="00B677A8" w:rsidP="008C6210" w14:paraId="491D06A3" w14:textId="0E8B8D53">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Státní rozpočet, </w:t>
            </w:r>
            <w:r w:rsidRPr="00B677A8" w:rsidR="002A653E">
              <w:rPr>
                <w:rFonts w:asciiTheme="minorHAnsi" w:hAnsiTheme="minorHAnsi" w:cstheme="minorHAnsi"/>
                <w:bCs/>
                <w:sz w:val="22"/>
                <w:szCs w:val="22"/>
              </w:rPr>
              <w:t>EU fondy</w:t>
            </w:r>
          </w:p>
        </w:tc>
      </w:tr>
      <w:tr w14:paraId="4DECE7E4" w14:textId="77777777" w:rsidTr="005362A5">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275E37D0" w14:textId="67EFE852">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2.3.9</w:t>
            </w:r>
          </w:p>
          <w:p w:rsidR="008C6210" w:rsidRPr="00B677A8" w:rsidP="008C6210" w14:paraId="3A7A8F9C" w14:textId="6DA0F483">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Rozvoj vědeckovýzkumné a inovační základny pro digitalizaci zdravotnictví a rozvoj znalostní základny digitálního zdravotnictví</w:t>
            </w:r>
          </w:p>
        </w:tc>
        <w:tc>
          <w:tcPr>
            <w:tcW w:w="1276" w:type="dxa"/>
          </w:tcPr>
          <w:p w:rsidR="008C6210" w:rsidRPr="00B677A8" w:rsidP="008C6210" w14:paraId="0AE43861" w14:textId="1AD144BC">
            <w:pPr>
              <w:jc w:val="both"/>
              <w:rPr>
                <w:rFonts w:asciiTheme="minorHAnsi" w:hAnsiTheme="minorHAnsi" w:cstheme="minorHAnsi"/>
                <w:bCs/>
                <w:sz w:val="22"/>
                <w:szCs w:val="22"/>
              </w:rPr>
            </w:pPr>
            <w:r w:rsidRPr="00B677A8">
              <w:rPr>
                <w:rFonts w:asciiTheme="minorHAnsi" w:hAnsiTheme="minorHAnsi" w:cstheme="minorHAnsi"/>
                <w:bCs/>
                <w:sz w:val="22"/>
                <w:szCs w:val="22"/>
              </w:rPr>
              <w:t>240 mil. Kč</w:t>
            </w:r>
          </w:p>
        </w:tc>
        <w:tc>
          <w:tcPr>
            <w:tcW w:w="1276" w:type="dxa"/>
          </w:tcPr>
          <w:p w:rsidR="008C6210" w:rsidRPr="00B677A8" w:rsidP="008C6210" w14:paraId="32AE4B9C" w14:textId="58D98A14">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w:t>
            </w:r>
          </w:p>
        </w:tc>
        <w:tc>
          <w:tcPr>
            <w:tcW w:w="1276" w:type="dxa"/>
          </w:tcPr>
          <w:p w:rsidR="008C6210" w:rsidRPr="00B677A8" w:rsidP="008C6210" w14:paraId="70539982" w14:textId="0B0AA6D1">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28D247D7" w14:textId="2694C683">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p>
        </w:tc>
        <w:tc>
          <w:tcPr>
            <w:tcW w:w="1134" w:type="dxa"/>
          </w:tcPr>
          <w:p w:rsidR="008C6210" w:rsidRPr="00B677A8" w:rsidP="008C6210" w14:paraId="5234F9E0" w14:textId="78DE56DC">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EU fondy</w:t>
            </w:r>
          </w:p>
        </w:tc>
      </w:tr>
      <w:tr w14:paraId="606FD20B" w14:textId="77777777" w:rsidTr="005F3210">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48BD5A61" w14:textId="463E4F1A">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2.3.10</w:t>
            </w:r>
          </w:p>
          <w:p w:rsidR="008C6210" w:rsidRPr="00B677A8" w:rsidP="008C6210" w14:paraId="14890480" w14:textId="3F0A53A2">
            <w:pPr>
              <w:ind w:left="-23"/>
              <w:jc w:val="both"/>
              <w:rPr>
                <w:rFonts w:asciiTheme="minorHAnsi" w:hAnsiTheme="minorHAnsi" w:cstheme="minorHAnsi"/>
                <w:bCs/>
                <w:sz w:val="22"/>
                <w:szCs w:val="22"/>
              </w:rPr>
            </w:pPr>
            <w:r w:rsidRPr="00B677A8">
              <w:rPr>
                <w:rFonts w:asciiTheme="minorHAnsi" w:hAnsiTheme="minorHAnsi" w:cstheme="minorHAnsi"/>
                <w:bCs/>
                <w:sz w:val="22"/>
                <w:szCs w:val="22"/>
              </w:rPr>
              <w:tab/>
              <w:t xml:space="preserve">Praktické aplikace modelů bezpečného sdílení zdravotních záznamů, uplatnění technologie Blockchain a navazujících </w:t>
            </w:r>
            <w:r w:rsidRPr="00B677A8">
              <w:rPr>
                <w:rFonts w:asciiTheme="minorHAnsi" w:hAnsiTheme="minorHAnsi" w:cstheme="minorHAnsi"/>
                <w:bCs/>
                <w:sz w:val="22"/>
                <w:szCs w:val="22"/>
              </w:rPr>
              <w:t xml:space="preserve">konceptů, využití konceptů z oblasti Big Data </w:t>
            </w:r>
          </w:p>
        </w:tc>
        <w:tc>
          <w:tcPr>
            <w:tcW w:w="1276" w:type="dxa"/>
          </w:tcPr>
          <w:p w:rsidR="008C6210" w:rsidRPr="00B677A8" w:rsidP="008C6210" w14:paraId="677E60D7" w14:textId="2A87C370">
            <w:pPr>
              <w:jc w:val="both"/>
              <w:rPr>
                <w:rFonts w:asciiTheme="minorHAnsi" w:hAnsiTheme="minorHAnsi" w:cstheme="minorHAnsi"/>
                <w:bCs/>
                <w:sz w:val="22"/>
                <w:szCs w:val="22"/>
              </w:rPr>
            </w:pPr>
            <w:r w:rsidRPr="00B677A8">
              <w:rPr>
                <w:rFonts w:asciiTheme="minorHAnsi" w:hAnsiTheme="minorHAnsi" w:cstheme="minorHAnsi"/>
                <w:bCs/>
                <w:sz w:val="22"/>
                <w:szCs w:val="22"/>
              </w:rPr>
              <w:t>230 mil. Kč</w:t>
            </w:r>
          </w:p>
        </w:tc>
        <w:tc>
          <w:tcPr>
            <w:tcW w:w="1276" w:type="dxa"/>
          </w:tcPr>
          <w:p w:rsidR="008C6210" w:rsidRPr="00B677A8" w:rsidP="008C6210" w14:paraId="44850F1E" w14:textId="5F7C4D9B">
            <w:pPr>
              <w:jc w:val="both"/>
              <w:rPr>
                <w:rFonts w:asciiTheme="minorHAnsi" w:hAnsiTheme="minorHAnsi" w:cstheme="minorHAnsi"/>
                <w:bCs/>
                <w:sz w:val="22"/>
                <w:szCs w:val="22"/>
              </w:rPr>
            </w:pPr>
            <w:r w:rsidRPr="00B677A8">
              <w:rPr>
                <w:rFonts w:asciiTheme="minorHAnsi" w:hAnsiTheme="minorHAnsi" w:cstheme="minorHAnsi"/>
                <w:bCs/>
                <w:sz w:val="22"/>
                <w:szCs w:val="22"/>
              </w:rPr>
              <w:t>Provozní</w:t>
            </w:r>
          </w:p>
        </w:tc>
        <w:tc>
          <w:tcPr>
            <w:tcW w:w="1276" w:type="dxa"/>
          </w:tcPr>
          <w:p w:rsidR="008C6210" w:rsidRPr="00B677A8" w:rsidP="008C6210" w14:paraId="7655F6BD" w14:textId="6397758A">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5D61F76E"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p w:rsidR="008C6210" w:rsidRPr="00B677A8" w:rsidP="008C6210" w14:paraId="57547528" w14:textId="2991A42A">
            <w:pPr>
              <w:jc w:val="both"/>
              <w:rPr>
                <w:rFonts w:asciiTheme="minorHAnsi" w:hAnsiTheme="minorHAnsi" w:cstheme="minorHAnsi"/>
                <w:bCs/>
                <w:sz w:val="22"/>
                <w:szCs w:val="22"/>
              </w:rPr>
            </w:pPr>
            <w:r w:rsidRPr="00B677A8">
              <w:rPr>
                <w:rFonts w:asciiTheme="minorHAnsi" w:hAnsiTheme="minorHAnsi" w:cstheme="minorHAnsi"/>
                <w:bCs/>
                <w:sz w:val="22"/>
                <w:szCs w:val="22"/>
              </w:rPr>
              <w:t xml:space="preserve">fondy EU, jiné zdroje (finanční </w:t>
            </w:r>
            <w:r w:rsidRPr="00B677A8">
              <w:rPr>
                <w:rFonts w:asciiTheme="minorHAnsi" w:hAnsiTheme="minorHAnsi" w:cstheme="minorHAnsi"/>
                <w:bCs/>
                <w:sz w:val="22"/>
                <w:szCs w:val="22"/>
              </w:rPr>
              <w:t>mechanismy EU- Horizon Europe)</w:t>
            </w:r>
          </w:p>
        </w:tc>
        <w:tc>
          <w:tcPr>
            <w:tcW w:w="1134" w:type="dxa"/>
          </w:tcPr>
          <w:p w:rsidR="008C6210" w:rsidRPr="00B677A8" w:rsidP="008C6210" w14:paraId="5AE79A4F" w14:textId="49337478">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EU fondy</w:t>
            </w:r>
          </w:p>
        </w:tc>
      </w:tr>
      <w:tr w14:paraId="3A9AC644" w14:textId="77777777" w:rsidTr="00581640">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09BB31D4" w14:textId="7EB15E30">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2.3.11</w:t>
            </w:r>
          </w:p>
          <w:p w:rsidR="008C6210" w:rsidRPr="00B677A8" w:rsidP="008C6210" w14:paraId="3CD9DEAB" w14:textId="6D73487C">
            <w:pPr>
              <w:ind w:left="-23"/>
              <w:jc w:val="both"/>
              <w:rPr>
                <w:rFonts w:asciiTheme="minorHAnsi" w:hAnsiTheme="minorHAnsi" w:cstheme="minorHAnsi"/>
                <w:bCs/>
                <w:sz w:val="22"/>
                <w:szCs w:val="22"/>
              </w:rPr>
            </w:pPr>
            <w:r w:rsidRPr="00B677A8">
              <w:rPr>
                <w:rFonts w:asciiTheme="minorHAnsi" w:hAnsiTheme="minorHAnsi" w:cstheme="minorHAnsi"/>
                <w:bCs/>
                <w:sz w:val="22"/>
                <w:szCs w:val="22"/>
              </w:rPr>
              <w:t>Podpora technologií mobilního zdravotnictví (mHealth) a telemedicíny na všech úrovních poskytování zdravotní péče</w:t>
            </w:r>
          </w:p>
        </w:tc>
        <w:tc>
          <w:tcPr>
            <w:tcW w:w="1276" w:type="dxa"/>
          </w:tcPr>
          <w:p w:rsidR="008C6210" w:rsidRPr="00B677A8" w:rsidP="008C6210" w14:paraId="0D401B78" w14:textId="04F5B1AA">
            <w:pPr>
              <w:jc w:val="both"/>
              <w:rPr>
                <w:rFonts w:asciiTheme="minorHAnsi" w:hAnsiTheme="minorHAnsi" w:cstheme="minorHAnsi"/>
                <w:bCs/>
                <w:sz w:val="22"/>
                <w:szCs w:val="22"/>
              </w:rPr>
            </w:pPr>
            <w:r w:rsidRPr="00B677A8">
              <w:rPr>
                <w:rFonts w:asciiTheme="minorHAnsi" w:hAnsiTheme="minorHAnsi" w:cstheme="minorHAnsi"/>
                <w:bCs/>
                <w:sz w:val="22"/>
                <w:szCs w:val="22"/>
              </w:rPr>
              <w:t>2</w:t>
            </w:r>
            <w:r w:rsidRPr="00B677A8">
              <w:rPr>
                <w:rFonts w:asciiTheme="minorHAnsi" w:hAnsiTheme="minorHAnsi" w:cstheme="minorHAnsi"/>
                <w:bCs/>
                <w:sz w:val="22"/>
                <w:szCs w:val="22"/>
              </w:rPr>
              <w:t>30 mil. Kč</w:t>
            </w:r>
          </w:p>
        </w:tc>
        <w:tc>
          <w:tcPr>
            <w:tcW w:w="1276" w:type="dxa"/>
          </w:tcPr>
          <w:p w:rsidR="008C6210" w:rsidRPr="00B677A8" w:rsidP="008C6210" w14:paraId="3B3D586A" w14:textId="2C6EF042">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 investiční</w:t>
            </w:r>
          </w:p>
        </w:tc>
        <w:tc>
          <w:tcPr>
            <w:tcW w:w="1276" w:type="dxa"/>
          </w:tcPr>
          <w:p w:rsidR="008C6210" w:rsidRPr="00B677A8" w:rsidP="008C6210" w14:paraId="6F6A79CC" w14:textId="3FA1BF86">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5E5BAAB8" w14:textId="3E25B496">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r w:rsidRPr="00B677A8" w:rsidR="00E20F06">
              <w:rPr>
                <w:rFonts w:asciiTheme="minorHAnsi" w:hAnsiTheme="minorHAnsi" w:cstheme="minorHAnsi"/>
                <w:bCs/>
                <w:sz w:val="22"/>
                <w:szCs w:val="22"/>
              </w:rPr>
              <w:t xml:space="preserve"> (NPO)</w:t>
            </w:r>
          </w:p>
        </w:tc>
        <w:tc>
          <w:tcPr>
            <w:tcW w:w="1134" w:type="dxa"/>
          </w:tcPr>
          <w:p w:rsidR="008C6210" w:rsidRPr="00B677A8" w:rsidP="008C6210" w14:paraId="62CF7195" w14:textId="1957344E">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zdravotní pojišťovny</w:t>
            </w:r>
          </w:p>
        </w:tc>
      </w:tr>
      <w:tr w14:paraId="195DB94B" w14:textId="77777777" w:rsidTr="00C95E9A">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52CD36AB" w14:textId="1F080BF1">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2.3.12</w:t>
            </w:r>
          </w:p>
          <w:p w:rsidR="008C6210" w:rsidRPr="00B677A8" w:rsidP="008C6210" w14:paraId="5EB4EF40" w14:textId="2BEC2A4C">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 xml:space="preserve">Rozvoj platforem pro komunikaci a koordinaci veřejné správy, průmyslu a akademické sféry pro účely rozvoje digitálních služeb ve zdravotnictví a v péči o zdraví </w:t>
            </w:r>
          </w:p>
        </w:tc>
        <w:tc>
          <w:tcPr>
            <w:tcW w:w="1276" w:type="dxa"/>
          </w:tcPr>
          <w:p w:rsidR="008C6210" w:rsidRPr="00B677A8" w:rsidP="008C6210" w14:paraId="5E4B4E34" w14:textId="60AD7AC2">
            <w:pPr>
              <w:jc w:val="both"/>
              <w:rPr>
                <w:rFonts w:asciiTheme="minorHAnsi" w:hAnsiTheme="minorHAnsi" w:cstheme="minorHAnsi"/>
                <w:bCs/>
                <w:sz w:val="22"/>
                <w:szCs w:val="22"/>
              </w:rPr>
            </w:pPr>
            <w:r w:rsidRPr="00B677A8">
              <w:rPr>
                <w:rFonts w:asciiTheme="minorHAnsi" w:hAnsiTheme="minorHAnsi" w:cstheme="minorHAnsi"/>
                <w:bCs/>
                <w:sz w:val="22"/>
                <w:szCs w:val="22"/>
              </w:rPr>
              <w:t>7</w:t>
            </w:r>
            <w:r w:rsidRPr="00B677A8">
              <w:rPr>
                <w:rFonts w:asciiTheme="minorHAnsi" w:hAnsiTheme="minorHAnsi" w:cstheme="minorHAnsi"/>
                <w:bCs/>
                <w:sz w:val="22"/>
                <w:szCs w:val="22"/>
              </w:rPr>
              <w:t>0 mil. Kč</w:t>
            </w:r>
          </w:p>
        </w:tc>
        <w:tc>
          <w:tcPr>
            <w:tcW w:w="1276" w:type="dxa"/>
          </w:tcPr>
          <w:p w:rsidR="008C6210" w:rsidRPr="00B677A8" w:rsidP="008C6210" w14:paraId="2AB1CD3E" w14:textId="7BE80E04">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w:t>
            </w:r>
          </w:p>
        </w:tc>
        <w:tc>
          <w:tcPr>
            <w:tcW w:w="1276" w:type="dxa"/>
          </w:tcPr>
          <w:p w:rsidR="008C6210" w:rsidRPr="00B677A8" w:rsidP="008C6210" w14:paraId="0A040692" w14:textId="3B75A117">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55E97F75" w14:textId="4A0D92F6">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r w:rsidRPr="00B677A8" w:rsidR="006E6A09">
              <w:rPr>
                <w:rFonts w:asciiTheme="minorHAnsi" w:hAnsiTheme="minorHAnsi" w:cstheme="minorHAnsi"/>
                <w:bCs/>
                <w:sz w:val="22"/>
                <w:szCs w:val="22"/>
              </w:rPr>
              <w:t xml:space="preserve"> (NPO)</w:t>
            </w:r>
          </w:p>
        </w:tc>
        <w:tc>
          <w:tcPr>
            <w:tcW w:w="1134" w:type="dxa"/>
          </w:tcPr>
          <w:p w:rsidR="008C6210" w:rsidRPr="00B677A8" w:rsidP="008C6210" w14:paraId="577CD52C" w14:textId="23B50F25">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16AC82EA" w14:textId="77777777" w:rsidTr="00FE0E92">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3763C7BB" w14:textId="6B81AF64">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2.3.13</w:t>
            </w:r>
          </w:p>
          <w:p w:rsidR="008C6210" w:rsidRPr="00B677A8" w:rsidP="008C6210" w14:paraId="3B9A2AD1" w14:textId="267D2C5A">
            <w:pPr>
              <w:ind w:left="-23"/>
              <w:jc w:val="both"/>
              <w:rPr>
                <w:rFonts w:asciiTheme="minorHAnsi" w:hAnsiTheme="minorHAnsi" w:cstheme="minorHAnsi"/>
                <w:bCs/>
                <w:sz w:val="22"/>
                <w:szCs w:val="22"/>
              </w:rPr>
            </w:pPr>
            <w:r w:rsidRPr="00B677A8">
              <w:rPr>
                <w:rFonts w:asciiTheme="minorHAnsi" w:hAnsiTheme="minorHAnsi" w:cstheme="minorHAnsi"/>
                <w:bCs/>
                <w:sz w:val="22"/>
                <w:szCs w:val="22"/>
              </w:rPr>
              <w:t>Programy rozvoje obecné i specifické digitální gramotnosti pracovníků ve zdravotnictví</w:t>
            </w:r>
          </w:p>
        </w:tc>
        <w:tc>
          <w:tcPr>
            <w:tcW w:w="1276" w:type="dxa"/>
          </w:tcPr>
          <w:p w:rsidR="008C6210" w:rsidRPr="00B677A8" w:rsidP="008C6210" w14:paraId="24697316"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300 mil. Kč</w:t>
            </w:r>
          </w:p>
        </w:tc>
        <w:tc>
          <w:tcPr>
            <w:tcW w:w="1276" w:type="dxa"/>
          </w:tcPr>
          <w:p w:rsidR="008C6210" w:rsidRPr="00B677A8" w:rsidP="008C6210" w14:paraId="761DC539" w14:textId="398C15B7">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w:t>
            </w:r>
          </w:p>
        </w:tc>
        <w:tc>
          <w:tcPr>
            <w:tcW w:w="1276" w:type="dxa"/>
          </w:tcPr>
          <w:p w:rsidR="008C6210" w:rsidRPr="00B677A8" w:rsidP="008C6210" w14:paraId="7C70E0B1" w14:textId="021B8DDB">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69E7D780"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p w:rsidR="008C6210" w:rsidRPr="00B677A8" w:rsidP="008C6210" w14:paraId="1C405760" w14:textId="5848A103">
            <w:pPr>
              <w:jc w:val="both"/>
              <w:rPr>
                <w:rFonts w:asciiTheme="minorHAnsi" w:hAnsiTheme="minorHAnsi" w:cstheme="minorHAnsi"/>
                <w:bCs/>
                <w:sz w:val="22"/>
                <w:szCs w:val="22"/>
              </w:rPr>
            </w:pPr>
            <w:r w:rsidRPr="00B677A8">
              <w:rPr>
                <w:rFonts w:asciiTheme="minorHAnsi" w:hAnsiTheme="minorHAnsi" w:cstheme="minorHAnsi"/>
                <w:bCs/>
                <w:sz w:val="22"/>
                <w:szCs w:val="22"/>
              </w:rPr>
              <w:t>fondy EU, jiné zdroje (finanční mechanismy EU- Horizon Europe</w:t>
            </w:r>
            <w:r w:rsidRPr="00B677A8" w:rsidR="00F1177D">
              <w:rPr>
                <w:rFonts w:asciiTheme="minorHAnsi" w:hAnsiTheme="minorHAnsi" w:cstheme="minorHAnsi"/>
                <w:bCs/>
                <w:sz w:val="22"/>
                <w:szCs w:val="22"/>
              </w:rPr>
              <w:t>, NPO</w:t>
            </w:r>
            <w:r w:rsidRPr="00B677A8">
              <w:rPr>
                <w:rFonts w:asciiTheme="minorHAnsi" w:hAnsiTheme="minorHAnsi" w:cstheme="minorHAnsi"/>
                <w:bCs/>
                <w:sz w:val="22"/>
                <w:szCs w:val="22"/>
              </w:rPr>
              <w:t>)</w:t>
            </w:r>
          </w:p>
        </w:tc>
        <w:tc>
          <w:tcPr>
            <w:tcW w:w="1134" w:type="dxa"/>
          </w:tcPr>
          <w:p w:rsidR="008C6210" w:rsidRPr="00B677A8" w:rsidP="008C6210" w14:paraId="1168CE01" w14:textId="52A1F7D0">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1E1531F5" w14:textId="77777777" w:rsidTr="00ED7F27">
        <w:tblPrEx>
          <w:tblW w:w="10109" w:type="dxa"/>
          <w:tblInd w:w="93" w:type="dxa"/>
          <w:tblLayout w:type="fixed"/>
          <w:tblCellMar>
            <w:left w:w="70" w:type="dxa"/>
            <w:right w:w="70" w:type="dxa"/>
          </w:tblCellMar>
          <w:tblLook w:val="0000"/>
        </w:tblPrEx>
        <w:trPr>
          <w:trHeight w:val="395"/>
        </w:trPr>
        <w:tc>
          <w:tcPr>
            <w:tcW w:w="4013" w:type="dxa"/>
          </w:tcPr>
          <w:p w:rsidR="008C6210" w:rsidRPr="00B677A8" w:rsidP="008C6210" w14:paraId="5CB26ADD" w14:textId="11283B35">
            <w:pPr>
              <w:ind w:left="-23"/>
              <w:jc w:val="both"/>
              <w:rPr>
                <w:rFonts w:asciiTheme="minorHAnsi" w:hAnsiTheme="minorHAnsi" w:cstheme="minorHAnsi"/>
                <w:bCs/>
                <w:sz w:val="22"/>
                <w:szCs w:val="22"/>
              </w:rPr>
            </w:pPr>
            <w:r w:rsidRPr="00B677A8">
              <w:rPr>
                <w:rFonts w:asciiTheme="minorHAnsi" w:hAnsiTheme="minorHAnsi" w:cstheme="minorHAnsi"/>
                <w:bCs/>
                <w:sz w:val="22"/>
                <w:szCs w:val="22"/>
              </w:rPr>
              <w:t>Dílčí cíl č. 2.3.14</w:t>
            </w:r>
          </w:p>
          <w:p w:rsidR="008C6210" w:rsidRPr="00B677A8" w:rsidP="008C6210" w14:paraId="732711F6" w14:textId="0F9F11FE">
            <w:pPr>
              <w:spacing w:before="60" w:after="60"/>
              <w:jc w:val="both"/>
              <w:rPr>
                <w:rFonts w:asciiTheme="minorHAnsi" w:hAnsiTheme="minorHAnsi" w:cstheme="minorHAnsi"/>
                <w:bCs/>
                <w:sz w:val="22"/>
                <w:szCs w:val="22"/>
              </w:rPr>
            </w:pPr>
            <w:r w:rsidRPr="00B677A8">
              <w:rPr>
                <w:rFonts w:asciiTheme="minorHAnsi" w:hAnsiTheme="minorHAnsi" w:cstheme="minorHAnsi"/>
                <w:bCs/>
                <w:sz w:val="22"/>
                <w:szCs w:val="22"/>
              </w:rPr>
              <w:t>Programy posilující budování důvěry ve služby digitálního zdravotnictví mezi občany i zdravotníky</w:t>
            </w:r>
          </w:p>
        </w:tc>
        <w:tc>
          <w:tcPr>
            <w:tcW w:w="1276" w:type="dxa"/>
          </w:tcPr>
          <w:p w:rsidR="008C6210" w:rsidRPr="00B677A8" w:rsidP="008C6210" w14:paraId="3CE90B18" w14:textId="77777777">
            <w:pPr>
              <w:jc w:val="both"/>
              <w:rPr>
                <w:rFonts w:asciiTheme="minorHAnsi" w:hAnsiTheme="minorHAnsi" w:cstheme="minorHAnsi"/>
                <w:bCs/>
                <w:sz w:val="22"/>
                <w:szCs w:val="22"/>
              </w:rPr>
            </w:pPr>
            <w:r w:rsidRPr="00B677A8">
              <w:rPr>
                <w:rFonts w:asciiTheme="minorHAnsi" w:hAnsiTheme="minorHAnsi" w:cstheme="minorHAnsi"/>
                <w:bCs/>
                <w:sz w:val="22"/>
                <w:szCs w:val="22"/>
              </w:rPr>
              <w:t>90 mil. Kč</w:t>
            </w:r>
          </w:p>
        </w:tc>
        <w:tc>
          <w:tcPr>
            <w:tcW w:w="1276" w:type="dxa"/>
          </w:tcPr>
          <w:p w:rsidR="008C6210" w:rsidRPr="00B677A8" w:rsidP="008C6210" w14:paraId="589A3385" w14:textId="2CAF72BE">
            <w:pPr>
              <w:jc w:val="both"/>
              <w:rPr>
                <w:rFonts w:asciiTheme="minorHAnsi" w:hAnsiTheme="minorHAnsi" w:cstheme="minorHAnsi"/>
                <w:bCs/>
                <w:sz w:val="22"/>
                <w:szCs w:val="22"/>
              </w:rPr>
            </w:pPr>
            <w:r w:rsidRPr="00B677A8">
              <w:rPr>
                <w:rFonts w:asciiTheme="minorHAnsi" w:hAnsiTheme="minorHAnsi" w:cstheme="minorHAnsi"/>
                <w:bCs/>
                <w:sz w:val="22"/>
                <w:szCs w:val="22"/>
              </w:rPr>
              <w:t>Administrativní, provozní</w:t>
            </w:r>
          </w:p>
        </w:tc>
        <w:tc>
          <w:tcPr>
            <w:tcW w:w="1276" w:type="dxa"/>
          </w:tcPr>
          <w:p w:rsidR="008C6210" w:rsidRPr="00B677A8" w:rsidP="008C6210" w14:paraId="535B73F4" w14:textId="6F242487">
            <w:pPr>
              <w:jc w:val="both"/>
              <w:rPr>
                <w:rFonts w:asciiTheme="minorHAnsi" w:hAnsiTheme="minorHAnsi" w:cstheme="minorHAnsi"/>
                <w:bCs/>
                <w:sz w:val="22"/>
                <w:szCs w:val="22"/>
              </w:rPr>
            </w:pPr>
            <w:r w:rsidRPr="00B677A8">
              <w:rPr>
                <w:rFonts w:asciiTheme="minorHAnsi" w:hAnsiTheme="minorHAnsi" w:cstheme="minorHAnsi"/>
                <w:bCs/>
                <w:sz w:val="22"/>
                <w:szCs w:val="22"/>
              </w:rPr>
              <w:t>ANO</w:t>
            </w:r>
          </w:p>
        </w:tc>
        <w:tc>
          <w:tcPr>
            <w:tcW w:w="1134" w:type="dxa"/>
          </w:tcPr>
          <w:p w:rsidR="008C6210" w:rsidRPr="00B677A8" w:rsidP="008C6210" w14:paraId="069D56B7" w14:textId="4BF7F334">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 fondy EU</w:t>
            </w:r>
            <w:r w:rsidRPr="00B677A8" w:rsidR="00BF327E">
              <w:rPr>
                <w:rFonts w:asciiTheme="minorHAnsi" w:hAnsiTheme="minorHAnsi" w:cstheme="minorHAnsi"/>
                <w:bCs/>
                <w:sz w:val="22"/>
                <w:szCs w:val="22"/>
              </w:rPr>
              <w:t xml:space="preserve"> (NPO)</w:t>
            </w:r>
          </w:p>
        </w:tc>
        <w:tc>
          <w:tcPr>
            <w:tcW w:w="1134" w:type="dxa"/>
          </w:tcPr>
          <w:p w:rsidR="008C6210" w:rsidRPr="00B677A8" w:rsidP="008C6210" w14:paraId="767C487B" w14:textId="40EFC198">
            <w:pPr>
              <w:jc w:val="both"/>
              <w:rPr>
                <w:rFonts w:asciiTheme="minorHAnsi" w:hAnsiTheme="minorHAnsi" w:cstheme="minorHAnsi"/>
                <w:bCs/>
                <w:sz w:val="22"/>
                <w:szCs w:val="22"/>
              </w:rPr>
            </w:pPr>
            <w:r w:rsidRPr="00B677A8">
              <w:rPr>
                <w:rFonts w:asciiTheme="minorHAnsi" w:hAnsiTheme="minorHAnsi" w:cstheme="minorHAnsi"/>
                <w:bCs/>
                <w:sz w:val="22"/>
                <w:szCs w:val="22"/>
              </w:rPr>
              <w:t>Státní rozpočet</w:t>
            </w:r>
          </w:p>
        </w:tc>
      </w:tr>
      <w:tr w14:paraId="0727DED1" w14:textId="77777777" w:rsidTr="00D62076">
        <w:tblPrEx>
          <w:tblW w:w="10109" w:type="dxa"/>
          <w:tblInd w:w="93" w:type="dxa"/>
          <w:tblLayout w:type="fixed"/>
          <w:tblCellMar>
            <w:left w:w="70" w:type="dxa"/>
            <w:right w:w="70" w:type="dxa"/>
          </w:tblCellMar>
          <w:tblLook w:val="0000"/>
        </w:tblPrEx>
        <w:trPr>
          <w:trHeight w:val="410"/>
        </w:trPr>
        <w:tc>
          <w:tcPr>
            <w:tcW w:w="4013" w:type="dxa"/>
          </w:tcPr>
          <w:p w:rsidR="008C6210" w:rsidRPr="00B677A8" w:rsidP="008C6210" w14:paraId="2E2A5920" w14:textId="77777777">
            <w:pPr>
              <w:ind w:left="-23"/>
              <w:jc w:val="both"/>
              <w:rPr>
                <w:rFonts w:asciiTheme="minorHAnsi" w:hAnsiTheme="minorHAnsi" w:cstheme="minorHAnsi"/>
                <w:b/>
                <w:sz w:val="22"/>
                <w:szCs w:val="22"/>
              </w:rPr>
            </w:pPr>
            <w:r w:rsidRPr="00B677A8">
              <w:rPr>
                <w:rFonts w:asciiTheme="minorHAnsi" w:hAnsiTheme="minorHAnsi" w:cstheme="minorHAnsi"/>
                <w:b/>
                <w:sz w:val="22"/>
                <w:szCs w:val="22"/>
              </w:rPr>
              <w:t>Celkem</w:t>
            </w:r>
          </w:p>
        </w:tc>
        <w:tc>
          <w:tcPr>
            <w:tcW w:w="1276" w:type="dxa"/>
          </w:tcPr>
          <w:p w:rsidR="008C6210" w:rsidRPr="00B677A8" w:rsidP="008C6210" w14:paraId="29A9E14A" w14:textId="33F8B738">
            <w:pPr>
              <w:ind w:left="-23"/>
              <w:jc w:val="both"/>
              <w:rPr>
                <w:rFonts w:asciiTheme="minorHAnsi" w:hAnsiTheme="minorHAnsi" w:cstheme="minorHAnsi"/>
                <w:b/>
                <w:sz w:val="22"/>
                <w:szCs w:val="22"/>
              </w:rPr>
            </w:pPr>
            <w:r w:rsidRPr="00B677A8">
              <w:rPr>
                <w:rFonts w:asciiTheme="minorHAnsi" w:hAnsiTheme="minorHAnsi" w:cstheme="minorHAnsi"/>
                <w:b/>
                <w:sz w:val="22"/>
                <w:szCs w:val="22"/>
              </w:rPr>
              <w:t>15 586</w:t>
            </w:r>
            <w:r w:rsidRPr="00B677A8">
              <w:rPr>
                <w:rFonts w:asciiTheme="minorHAnsi" w:hAnsiTheme="minorHAnsi" w:cstheme="minorHAnsi"/>
                <w:b/>
                <w:sz w:val="22"/>
                <w:szCs w:val="22"/>
              </w:rPr>
              <w:t xml:space="preserve"> mil. Kč</w:t>
            </w:r>
          </w:p>
        </w:tc>
        <w:tc>
          <w:tcPr>
            <w:tcW w:w="1276" w:type="dxa"/>
          </w:tcPr>
          <w:p w:rsidR="008C6210" w:rsidRPr="00B677A8" w:rsidP="008C6210" w14:paraId="4CBD1CAA" w14:textId="77777777">
            <w:pPr>
              <w:ind w:left="-23"/>
              <w:jc w:val="both"/>
              <w:rPr>
                <w:rFonts w:asciiTheme="minorHAnsi" w:hAnsiTheme="minorHAnsi" w:cstheme="minorHAnsi"/>
                <w:bCs/>
                <w:sz w:val="22"/>
                <w:szCs w:val="22"/>
              </w:rPr>
            </w:pPr>
          </w:p>
        </w:tc>
        <w:tc>
          <w:tcPr>
            <w:tcW w:w="1276" w:type="dxa"/>
          </w:tcPr>
          <w:p w:rsidR="008C6210" w:rsidRPr="00B677A8" w:rsidP="008C6210" w14:paraId="7534A45A" w14:textId="2EB7657C">
            <w:pPr>
              <w:ind w:left="-23"/>
              <w:jc w:val="both"/>
              <w:rPr>
                <w:rFonts w:asciiTheme="minorHAnsi" w:hAnsiTheme="minorHAnsi" w:cstheme="minorHAnsi"/>
                <w:bCs/>
                <w:sz w:val="22"/>
                <w:szCs w:val="22"/>
              </w:rPr>
            </w:pPr>
          </w:p>
        </w:tc>
        <w:tc>
          <w:tcPr>
            <w:tcW w:w="2268" w:type="dxa"/>
            <w:gridSpan w:val="2"/>
          </w:tcPr>
          <w:p w:rsidR="008C6210" w:rsidRPr="00B677A8" w:rsidP="008C6210" w14:paraId="7F92140B" w14:textId="77777777">
            <w:pPr>
              <w:ind w:left="-23"/>
              <w:jc w:val="both"/>
              <w:rPr>
                <w:rFonts w:asciiTheme="minorHAnsi" w:hAnsiTheme="minorHAnsi" w:cstheme="minorHAnsi"/>
                <w:bCs/>
                <w:sz w:val="22"/>
                <w:szCs w:val="22"/>
              </w:rPr>
            </w:pPr>
          </w:p>
        </w:tc>
      </w:tr>
    </w:tbl>
    <w:p w:rsidR="00B677A8" w:rsidRPr="00B677A8" w:rsidP="00B677A8" w14:paraId="0E45030F" w14:textId="77777777">
      <w:pPr>
        <w:jc w:val="both"/>
        <w:rPr>
          <w:rFonts w:asciiTheme="minorHAnsi" w:hAnsiTheme="minorHAnsi" w:cstheme="minorHAnsi"/>
          <w:sz w:val="20"/>
          <w:szCs w:val="20"/>
        </w:rPr>
      </w:pPr>
      <w:r w:rsidRPr="00B677A8">
        <w:rPr>
          <w:rFonts w:asciiTheme="minorHAnsi" w:hAnsiTheme="minorHAnsi" w:cstheme="minorHAnsi"/>
          <w:sz w:val="20"/>
          <w:szCs w:val="20"/>
        </w:rPr>
        <w:t xml:space="preserve">Tab. č. 3: Rozpočet dle dílčích cílů a plánované zdroje financování </w:t>
      </w:r>
    </w:p>
    <w:p w:rsidR="00711487" w:rsidRPr="00C24606" w:rsidP="00C709C0" w14:paraId="1F9BB25F" w14:textId="77777777">
      <w:pPr>
        <w:jc w:val="both"/>
        <w:rPr>
          <w:rFonts w:asciiTheme="minorHAnsi" w:hAnsiTheme="minorHAnsi" w:cstheme="minorHAnsi"/>
          <w:sz w:val="20"/>
          <w:szCs w:val="20"/>
        </w:rPr>
      </w:pPr>
    </w:p>
    <w:p w:rsidR="00B677A8" w:rsidP="00C709C0" w14:paraId="0A227F63" w14:textId="77777777">
      <w:pPr>
        <w:jc w:val="both"/>
        <w:rPr>
          <w:rFonts w:asciiTheme="minorHAnsi" w:hAnsiTheme="minorHAnsi" w:cstheme="minorHAnsi"/>
          <w:sz w:val="20"/>
          <w:szCs w:val="20"/>
        </w:rPr>
        <w:sectPr w:rsidSect="00514ECA">
          <w:pgSz w:w="11906" w:h="16838"/>
          <w:pgMar w:top="720" w:right="720" w:bottom="720" w:left="720" w:header="708" w:footer="708" w:gutter="0"/>
          <w:cols w:space="708"/>
          <w:titlePg/>
          <w:docGrid w:linePitch="360"/>
        </w:sectPr>
      </w:pPr>
    </w:p>
    <w:p w:rsidR="00214046" w:rsidRPr="00C24606" w:rsidP="00C709C0" w14:paraId="3316B410" w14:textId="04674DDB">
      <w:pPr>
        <w:jc w:val="both"/>
        <w:rPr>
          <w:rFonts w:asciiTheme="minorHAnsi" w:hAnsiTheme="minorHAnsi" w:cstheme="minorHAnsi"/>
          <w:sz w:val="20"/>
          <w:szCs w:val="20"/>
        </w:rPr>
      </w:pPr>
    </w:p>
    <w:p w:rsidR="00AA4FE7" w:rsidRPr="00C24606" w:rsidP="00C709C0" w14:paraId="0906A395" w14:textId="77777777">
      <w:pPr>
        <w:pStyle w:val="Heading1"/>
        <w:numPr>
          <w:ilvl w:val="0"/>
          <w:numId w:val="13"/>
        </w:numPr>
        <w:jc w:val="both"/>
        <w:rPr>
          <w:rFonts w:cstheme="minorHAnsi"/>
        </w:rPr>
      </w:pPr>
      <w:bookmarkStart w:id="252" w:name="_Toc256000010"/>
      <w:r w:rsidRPr="00C24606">
        <w:rPr>
          <w:rFonts w:cstheme="minorHAnsi"/>
        </w:rPr>
        <w:t>Soubor indikátorů</w:t>
      </w:r>
      <w:bookmarkEnd w:id="252"/>
    </w:p>
    <w:p w:rsidR="00C13797" w:rsidRPr="00C24606" w:rsidP="00C709C0" w14:paraId="5EBE2F78" w14:textId="77777777">
      <w:pPr>
        <w:jc w:val="both"/>
        <w:rPr>
          <w:rFonts w:asciiTheme="minorHAnsi" w:hAnsiTheme="minorHAnsi" w:cstheme="minorHAnsi"/>
        </w:rPr>
      </w:pPr>
    </w:p>
    <w:p w:rsidR="0043578C" w:rsidRPr="00C24606" w:rsidP="00C709C0" w14:paraId="412FEC1B" w14:textId="7845AAAD">
      <w:pPr>
        <w:jc w:val="both"/>
        <w:rPr>
          <w:rFonts w:asciiTheme="minorHAnsi" w:hAnsiTheme="minorHAnsi" w:cstheme="minorHAnsi"/>
        </w:rPr>
      </w:pPr>
      <w:r w:rsidRPr="00C24606">
        <w:rPr>
          <w:rFonts w:asciiTheme="minorHAnsi" w:hAnsiTheme="minorHAnsi" w:cstheme="minorHAnsi"/>
        </w:rPr>
        <w:t xml:space="preserve">Naplňování Strategického rámce Zdraví </w:t>
      </w:r>
      <w:r w:rsidRPr="00C24606" w:rsidR="00514ECA">
        <w:rPr>
          <w:rFonts w:asciiTheme="minorHAnsi" w:hAnsiTheme="minorHAnsi" w:cstheme="minorHAnsi"/>
        </w:rPr>
        <w:t>203</w:t>
      </w:r>
      <w:r w:rsidR="00514ECA">
        <w:rPr>
          <w:rFonts w:asciiTheme="minorHAnsi" w:hAnsiTheme="minorHAnsi" w:cstheme="minorHAnsi"/>
        </w:rPr>
        <w:t>5 je</w:t>
      </w:r>
      <w:r w:rsidRPr="00C24606" w:rsidR="00514ECA">
        <w:rPr>
          <w:rFonts w:asciiTheme="minorHAnsi" w:hAnsiTheme="minorHAnsi" w:cstheme="minorHAnsi"/>
        </w:rPr>
        <w:t xml:space="preserve"> </w:t>
      </w:r>
      <w:r w:rsidRPr="00C24606">
        <w:rPr>
          <w:rFonts w:asciiTheme="minorHAnsi" w:hAnsiTheme="minorHAnsi" w:cstheme="minorHAnsi"/>
        </w:rPr>
        <w:t>sledováno prostřednictvím indikátorů, které představují účinný nástroj pro měření cílů, postupu či dosažených efektů jednotlivých úrovní implementace.</w:t>
      </w:r>
    </w:p>
    <w:p w:rsidR="0043578C" w:rsidRPr="00C24606" w:rsidP="00C709C0" w14:paraId="668195A8" w14:textId="77777777">
      <w:pPr>
        <w:jc w:val="both"/>
        <w:rPr>
          <w:rFonts w:asciiTheme="minorHAnsi" w:hAnsiTheme="minorHAnsi" w:cstheme="minorHAnsi"/>
        </w:rPr>
      </w:pPr>
    </w:p>
    <w:p w:rsidR="0043578C" w:rsidRPr="00C24606" w:rsidP="00C709C0" w14:paraId="145743AC" w14:textId="51C4E985">
      <w:pPr>
        <w:jc w:val="both"/>
        <w:rPr>
          <w:rFonts w:asciiTheme="minorHAnsi" w:hAnsiTheme="minorHAnsi" w:cstheme="minorHAnsi"/>
        </w:rPr>
      </w:pPr>
      <w:r w:rsidRPr="00C24606">
        <w:rPr>
          <w:rFonts w:asciiTheme="minorHAnsi" w:hAnsiTheme="minorHAnsi" w:cstheme="minorHAnsi"/>
        </w:rPr>
        <w:t xml:space="preserve">Na úrovni Strategického rámce Zdraví </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Pr="00C24606">
        <w:rPr>
          <w:rFonts w:asciiTheme="minorHAnsi" w:hAnsiTheme="minorHAnsi" w:cstheme="minorHAnsi"/>
        </w:rPr>
        <w:t xml:space="preserve">jsou stanoveny základní indikátory, u nichž je zřejmá návaznost na indikátory Strategického rámce ČR 2030. </w:t>
      </w:r>
    </w:p>
    <w:p w:rsidR="00151899" w:rsidRPr="00C24606" w:rsidP="00C709C0" w14:paraId="72CBD7B3" w14:textId="77777777">
      <w:pPr>
        <w:jc w:val="both"/>
        <w:rPr>
          <w:rFonts w:asciiTheme="minorHAnsi" w:hAnsiTheme="minorHAnsi" w:cstheme="minorHAnsi"/>
        </w:rPr>
      </w:pPr>
    </w:p>
    <w:p w:rsidR="00121E7C" w:rsidP="00C709C0" w14:paraId="111EF367" w14:textId="075952BD">
      <w:pPr>
        <w:jc w:val="both"/>
        <w:rPr>
          <w:rFonts w:asciiTheme="minorHAnsi" w:hAnsiTheme="minorHAnsi" w:cstheme="minorHAnsi"/>
        </w:rPr>
      </w:pPr>
      <w:r w:rsidRPr="00C24606">
        <w:rPr>
          <w:rFonts w:asciiTheme="minorHAnsi" w:hAnsiTheme="minorHAnsi" w:cstheme="minorHAnsi"/>
        </w:rPr>
        <w:t xml:space="preserve">Soubor indikátorů slouží ke sledování pokroku v plnění jednotlivých cílů. Zdraví </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Pr="00C24606">
        <w:rPr>
          <w:rFonts w:asciiTheme="minorHAnsi" w:hAnsiTheme="minorHAnsi" w:cstheme="minorHAnsi"/>
        </w:rPr>
        <w:t xml:space="preserve">obsahuje indikátorovou sadu, která měří dopady intervencí na nejvyšší úrovni. </w:t>
      </w:r>
      <w:r w:rsidRPr="00C24606">
        <w:rPr>
          <w:rFonts w:asciiTheme="minorHAnsi" w:hAnsiTheme="minorHAnsi" w:cstheme="minorHAnsi"/>
        </w:rPr>
        <w:t xml:space="preserve">Tento IP má přispívat především k dosažení cílových hodnot následujících indikátorů: </w:t>
      </w:r>
    </w:p>
    <w:tbl>
      <w:tblPr>
        <w:tblW w:w="14460" w:type="dxa"/>
        <w:tblCellMar>
          <w:top w:w="15" w:type="dxa"/>
          <w:left w:w="70" w:type="dxa"/>
          <w:bottom w:w="15" w:type="dxa"/>
          <w:right w:w="70" w:type="dxa"/>
        </w:tblCellMar>
        <w:tblLook w:val="04A0"/>
      </w:tblPr>
      <w:tblGrid>
        <w:gridCol w:w="1838"/>
        <w:gridCol w:w="2405"/>
        <w:gridCol w:w="1374"/>
        <w:gridCol w:w="911"/>
        <w:gridCol w:w="911"/>
        <w:gridCol w:w="952"/>
        <w:gridCol w:w="1176"/>
        <w:gridCol w:w="1305"/>
        <w:gridCol w:w="1305"/>
        <w:gridCol w:w="1305"/>
        <w:gridCol w:w="832"/>
        <w:gridCol w:w="146"/>
      </w:tblGrid>
      <w:tr w14:paraId="693BD5D9" w14:textId="77777777" w:rsidTr="000844A0">
        <w:tblPrEx>
          <w:tblW w:w="14460" w:type="dxa"/>
          <w:tblCellMar>
            <w:top w:w="15" w:type="dxa"/>
            <w:left w:w="70" w:type="dxa"/>
            <w:bottom w:w="15" w:type="dxa"/>
            <w:right w:w="70" w:type="dxa"/>
          </w:tblCellMar>
          <w:tblLook w:val="04A0"/>
        </w:tblPrEx>
        <w:trPr>
          <w:gridAfter w:val="1"/>
          <w:wAfter w:w="146" w:type="dxa"/>
          <w:trHeight w:val="600"/>
        </w:trPr>
        <w:tc>
          <w:tcPr>
            <w:tcW w:w="1838"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4B498E37"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2405"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5FE1B982"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1374"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71968EC9"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911"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37F097B3"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911"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23F89069"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952"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11C8D295"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176"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604347B6"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10230A0E"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2B45750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0844A0" w14:paraId="22A690DD"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832" w:type="dxa"/>
            <w:tcBorders>
              <w:top w:val="single" w:sz="8" w:space="0" w:color="auto"/>
              <w:left w:val="nil"/>
              <w:bottom w:val="nil"/>
              <w:right w:val="single" w:sz="8" w:space="0" w:color="auto"/>
            </w:tcBorders>
            <w:shd w:val="clear" w:color="000000" w:fill="CAEDFB"/>
            <w:vAlign w:val="center"/>
            <w:hideMark/>
          </w:tcPr>
          <w:p w:rsidR="000844A0" w14:paraId="6B103E88"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5C312592" w14:textId="77777777" w:rsidTr="000844A0">
        <w:tblPrEx>
          <w:tblW w:w="14460" w:type="dxa"/>
          <w:tblCellMar>
            <w:top w:w="15" w:type="dxa"/>
            <w:left w:w="70" w:type="dxa"/>
            <w:bottom w:w="15" w:type="dxa"/>
            <w:right w:w="70" w:type="dxa"/>
          </w:tblCellMar>
          <w:tblLook w:val="04A0"/>
        </w:tblPrEx>
        <w:trPr>
          <w:gridAfter w:val="1"/>
          <w:wAfter w:w="146" w:type="dxa"/>
          <w:trHeight w:val="315"/>
        </w:trPr>
        <w:tc>
          <w:tcPr>
            <w:tcW w:w="1838" w:type="dxa"/>
            <w:vMerge/>
            <w:tcBorders>
              <w:top w:val="single" w:sz="8" w:space="0" w:color="auto"/>
              <w:left w:val="single" w:sz="8" w:space="0" w:color="auto"/>
              <w:bottom w:val="nil"/>
              <w:right w:val="single" w:sz="8" w:space="0" w:color="auto"/>
            </w:tcBorders>
            <w:vAlign w:val="center"/>
            <w:hideMark/>
          </w:tcPr>
          <w:p w:rsidR="000844A0" w14:paraId="3787DC25" w14:textId="77777777">
            <w:pPr>
              <w:rPr>
                <w:rFonts w:ascii="Calibri" w:hAnsi="Calibri" w:cs="Calibri"/>
                <w:b/>
                <w:bCs/>
                <w:color w:val="000000"/>
                <w:sz w:val="22"/>
                <w:szCs w:val="22"/>
              </w:rPr>
            </w:pPr>
          </w:p>
        </w:tc>
        <w:tc>
          <w:tcPr>
            <w:tcW w:w="2405" w:type="dxa"/>
            <w:vMerge/>
            <w:tcBorders>
              <w:top w:val="single" w:sz="8" w:space="0" w:color="auto"/>
              <w:left w:val="single" w:sz="8" w:space="0" w:color="auto"/>
              <w:bottom w:val="nil"/>
              <w:right w:val="single" w:sz="8" w:space="0" w:color="auto"/>
            </w:tcBorders>
            <w:vAlign w:val="center"/>
            <w:hideMark/>
          </w:tcPr>
          <w:p w:rsidR="000844A0" w14:paraId="72154A02" w14:textId="77777777">
            <w:pPr>
              <w:rPr>
                <w:rFonts w:ascii="Calibri" w:hAnsi="Calibri" w:cs="Calibri"/>
                <w:b/>
                <w:bCs/>
                <w:color w:val="000000"/>
                <w:sz w:val="22"/>
                <w:szCs w:val="22"/>
              </w:rPr>
            </w:pPr>
          </w:p>
        </w:tc>
        <w:tc>
          <w:tcPr>
            <w:tcW w:w="1374" w:type="dxa"/>
            <w:vMerge/>
            <w:tcBorders>
              <w:top w:val="single" w:sz="8" w:space="0" w:color="auto"/>
              <w:left w:val="single" w:sz="8" w:space="0" w:color="auto"/>
              <w:bottom w:val="nil"/>
              <w:right w:val="single" w:sz="8" w:space="0" w:color="auto"/>
            </w:tcBorders>
            <w:vAlign w:val="center"/>
            <w:hideMark/>
          </w:tcPr>
          <w:p w:rsidR="000844A0" w14:paraId="35C53560" w14:textId="77777777">
            <w:pPr>
              <w:rPr>
                <w:rFonts w:ascii="Calibri" w:hAnsi="Calibri" w:cs="Calibri"/>
                <w:b/>
                <w:bCs/>
                <w:color w:val="000000"/>
                <w:sz w:val="22"/>
                <w:szCs w:val="22"/>
              </w:rPr>
            </w:pPr>
          </w:p>
        </w:tc>
        <w:tc>
          <w:tcPr>
            <w:tcW w:w="911" w:type="dxa"/>
            <w:vMerge/>
            <w:tcBorders>
              <w:top w:val="single" w:sz="8" w:space="0" w:color="auto"/>
              <w:left w:val="single" w:sz="8" w:space="0" w:color="auto"/>
              <w:bottom w:val="nil"/>
              <w:right w:val="single" w:sz="8" w:space="0" w:color="auto"/>
            </w:tcBorders>
            <w:vAlign w:val="center"/>
            <w:hideMark/>
          </w:tcPr>
          <w:p w:rsidR="000844A0" w14:paraId="699D6715" w14:textId="77777777">
            <w:pPr>
              <w:rPr>
                <w:rFonts w:ascii="Calibri" w:hAnsi="Calibri" w:cs="Calibri"/>
                <w:b/>
                <w:bCs/>
                <w:color w:val="000000"/>
                <w:sz w:val="22"/>
                <w:szCs w:val="22"/>
              </w:rPr>
            </w:pPr>
          </w:p>
        </w:tc>
        <w:tc>
          <w:tcPr>
            <w:tcW w:w="911" w:type="dxa"/>
            <w:vMerge/>
            <w:tcBorders>
              <w:top w:val="single" w:sz="8" w:space="0" w:color="auto"/>
              <w:left w:val="single" w:sz="8" w:space="0" w:color="auto"/>
              <w:bottom w:val="nil"/>
              <w:right w:val="single" w:sz="8" w:space="0" w:color="auto"/>
            </w:tcBorders>
            <w:vAlign w:val="center"/>
            <w:hideMark/>
          </w:tcPr>
          <w:p w:rsidR="000844A0" w14:paraId="56888E35" w14:textId="77777777">
            <w:pPr>
              <w:rPr>
                <w:rFonts w:ascii="Calibri" w:hAnsi="Calibri" w:cs="Calibri"/>
                <w:b/>
                <w:bCs/>
                <w:color w:val="000000"/>
                <w:sz w:val="22"/>
                <w:szCs w:val="22"/>
              </w:rPr>
            </w:pPr>
          </w:p>
        </w:tc>
        <w:tc>
          <w:tcPr>
            <w:tcW w:w="952" w:type="dxa"/>
            <w:vMerge/>
            <w:tcBorders>
              <w:top w:val="single" w:sz="8" w:space="0" w:color="auto"/>
              <w:left w:val="single" w:sz="8" w:space="0" w:color="auto"/>
              <w:bottom w:val="nil"/>
              <w:right w:val="single" w:sz="8" w:space="0" w:color="auto"/>
            </w:tcBorders>
            <w:vAlign w:val="center"/>
            <w:hideMark/>
          </w:tcPr>
          <w:p w:rsidR="000844A0" w14:paraId="4FC47194" w14:textId="77777777">
            <w:pPr>
              <w:rPr>
                <w:rFonts w:ascii="Calibri" w:hAnsi="Calibri" w:cs="Calibri"/>
                <w:b/>
                <w:bCs/>
                <w:color w:val="000000"/>
                <w:sz w:val="22"/>
                <w:szCs w:val="22"/>
              </w:rPr>
            </w:pPr>
          </w:p>
        </w:tc>
        <w:tc>
          <w:tcPr>
            <w:tcW w:w="1176" w:type="dxa"/>
            <w:vMerge/>
            <w:tcBorders>
              <w:top w:val="single" w:sz="8" w:space="0" w:color="auto"/>
              <w:left w:val="single" w:sz="8" w:space="0" w:color="auto"/>
              <w:bottom w:val="nil"/>
              <w:right w:val="single" w:sz="8" w:space="0" w:color="auto"/>
            </w:tcBorders>
            <w:vAlign w:val="center"/>
            <w:hideMark/>
          </w:tcPr>
          <w:p w:rsidR="000844A0" w14:paraId="3E460AF0"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201E80AA"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4D3ACDAD"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63F15078" w14:textId="77777777">
            <w:pPr>
              <w:rPr>
                <w:rFonts w:ascii="Calibri" w:hAnsi="Calibri" w:cs="Calibri"/>
                <w:b/>
                <w:bCs/>
                <w:color w:val="000000"/>
                <w:sz w:val="22"/>
                <w:szCs w:val="22"/>
              </w:rPr>
            </w:pPr>
          </w:p>
        </w:tc>
        <w:tc>
          <w:tcPr>
            <w:tcW w:w="832" w:type="dxa"/>
            <w:tcBorders>
              <w:top w:val="nil"/>
              <w:left w:val="nil"/>
              <w:bottom w:val="single" w:sz="8" w:space="0" w:color="auto"/>
              <w:right w:val="single" w:sz="8" w:space="0" w:color="auto"/>
            </w:tcBorders>
            <w:shd w:val="clear" w:color="000000" w:fill="CAEDFB"/>
            <w:vAlign w:val="center"/>
            <w:hideMark/>
          </w:tcPr>
          <w:p w:rsidR="000844A0" w14:paraId="3BA8F7A4"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38303006" w14:textId="77777777" w:rsidTr="000844A0">
        <w:tblPrEx>
          <w:tblW w:w="14460" w:type="dxa"/>
          <w:tblCellMar>
            <w:top w:w="15" w:type="dxa"/>
            <w:left w:w="70" w:type="dxa"/>
            <w:bottom w:w="15" w:type="dxa"/>
            <w:right w:w="70" w:type="dxa"/>
          </w:tblCellMar>
          <w:tblLook w:val="04A0"/>
        </w:tblPrEx>
        <w:trPr>
          <w:gridAfter w:val="1"/>
          <w:wAfter w:w="146" w:type="dxa"/>
          <w:trHeight w:val="3000"/>
        </w:trPr>
        <w:tc>
          <w:tcPr>
            <w:tcW w:w="1838"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647B2775" w14:textId="77777777">
            <w:pPr>
              <w:jc w:val="center"/>
              <w:rPr>
                <w:rFonts w:ascii="Calibri" w:hAnsi="Calibri" w:cs="Calibri"/>
                <w:color w:val="000000"/>
                <w:sz w:val="20"/>
                <w:szCs w:val="20"/>
              </w:rPr>
            </w:pPr>
            <w:r>
              <w:rPr>
                <w:rFonts w:ascii="Calibri" w:hAnsi="Calibri" w:cs="Calibri"/>
                <w:color w:val="000000"/>
                <w:sz w:val="20"/>
                <w:szCs w:val="20"/>
              </w:rPr>
              <w:t>Počet vytvořených portálových řešení elektronického zdravotnictví (elektronické zdravotní záznamy)</w:t>
            </w:r>
          </w:p>
        </w:tc>
        <w:tc>
          <w:tcPr>
            <w:tcW w:w="2405"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63A5900A" w14:textId="77777777">
            <w:pPr>
              <w:jc w:val="center"/>
              <w:rPr>
                <w:rFonts w:ascii="Calibri" w:hAnsi="Calibri" w:cs="Calibri"/>
                <w:color w:val="000000"/>
                <w:sz w:val="20"/>
                <w:szCs w:val="20"/>
              </w:rPr>
            </w:pPr>
            <w:r>
              <w:rPr>
                <w:rFonts w:ascii="Calibri" w:hAnsi="Calibri" w:cs="Calibri"/>
                <w:color w:val="000000"/>
                <w:sz w:val="20"/>
                <w:szCs w:val="20"/>
              </w:rPr>
              <w:t>Centrálním prvkem celého systému elektronického zdravotnictví bude Národní portál elektronického zdravotnictví (NPEZ), zpřístupňující služby elektronického zdravotnictví, včetně elektronické zdravotnické dokumentace, doprovázený mobilní aplikací EZkarta. Portál i aplikace jsou vymezeny zákonem</w:t>
            </w:r>
          </w:p>
        </w:tc>
        <w:tc>
          <w:tcPr>
            <w:tcW w:w="1374"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6193B5FC" w14:textId="77777777">
            <w:pPr>
              <w:jc w:val="center"/>
              <w:rPr>
                <w:rFonts w:ascii="Calibri" w:hAnsi="Calibri" w:cs="Calibri"/>
                <w:color w:val="000000"/>
                <w:sz w:val="20"/>
                <w:szCs w:val="20"/>
              </w:rPr>
            </w:pPr>
            <w:r>
              <w:rPr>
                <w:rFonts w:ascii="Calibri" w:hAnsi="Calibri" w:cs="Calibri"/>
                <w:color w:val="000000"/>
                <w:sz w:val="20"/>
                <w:szCs w:val="20"/>
              </w:rPr>
              <w:t>Klíčový prvek, indikující existenci národního systému elektronického zdravotnictví.</w:t>
            </w:r>
          </w:p>
        </w:tc>
        <w:tc>
          <w:tcPr>
            <w:tcW w:w="911"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7AB96307" w14:textId="77777777">
            <w:pPr>
              <w:jc w:val="center"/>
              <w:rPr>
                <w:rFonts w:ascii="Calibri" w:hAnsi="Calibri" w:cs="Calibri"/>
                <w:color w:val="000000"/>
                <w:sz w:val="20"/>
                <w:szCs w:val="20"/>
              </w:rPr>
            </w:pPr>
            <w:r>
              <w:rPr>
                <w:rFonts w:ascii="Calibri" w:hAnsi="Calibri" w:cs="Calibri"/>
                <w:color w:val="000000"/>
                <w:sz w:val="20"/>
                <w:szCs w:val="20"/>
              </w:rPr>
              <w:t>MZD-SIT/NCEZ</w:t>
            </w:r>
          </w:p>
        </w:tc>
        <w:tc>
          <w:tcPr>
            <w:tcW w:w="911"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3519059F" w14:textId="77777777">
            <w:pPr>
              <w:jc w:val="center"/>
              <w:rPr>
                <w:rFonts w:ascii="Calibri" w:hAnsi="Calibri" w:cs="Calibri"/>
                <w:color w:val="000000"/>
                <w:sz w:val="20"/>
                <w:szCs w:val="20"/>
              </w:rPr>
            </w:pPr>
            <w:r>
              <w:rPr>
                <w:rFonts w:ascii="Calibri" w:hAnsi="Calibri" w:cs="Calibri"/>
                <w:color w:val="000000"/>
                <w:sz w:val="20"/>
                <w:szCs w:val="20"/>
              </w:rPr>
              <w:t>MZD-SIT/NCEZ</w:t>
            </w:r>
          </w:p>
        </w:tc>
        <w:tc>
          <w:tcPr>
            <w:tcW w:w="952"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1BF964D4"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1176"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499DD81B" w14:textId="77777777">
            <w:pPr>
              <w:jc w:val="center"/>
              <w:rPr>
                <w:rFonts w:ascii="Calibri" w:hAnsi="Calibri" w:cs="Calibri"/>
                <w:color w:val="000000"/>
                <w:sz w:val="20"/>
                <w:szCs w:val="20"/>
              </w:rPr>
            </w:pPr>
            <w:r>
              <w:rPr>
                <w:rFonts w:ascii="Calibri" w:hAnsi="Calibri" w:cs="Calibri"/>
                <w:color w:val="000000"/>
                <w:sz w:val="20"/>
                <w:szCs w:val="20"/>
              </w:rPr>
              <w:t>na konci sledovaného období</w:t>
            </w:r>
          </w:p>
        </w:tc>
        <w:tc>
          <w:tcPr>
            <w:tcW w:w="1305"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47785B66" w14:textId="77777777">
            <w:pPr>
              <w:jc w:val="center"/>
              <w:rPr>
                <w:rFonts w:ascii="Calibri" w:hAnsi="Calibri" w:cs="Calibri"/>
                <w:color w:val="000000"/>
                <w:sz w:val="20"/>
                <w:szCs w:val="20"/>
              </w:rPr>
            </w:pPr>
            <w:r>
              <w:rPr>
                <w:rFonts w:ascii="Calibri" w:hAnsi="Calibri" w:cs="Calibri"/>
                <w:color w:val="000000"/>
                <w:sz w:val="20"/>
                <w:szCs w:val="20"/>
              </w:rPr>
              <w:t>0</w:t>
            </w:r>
          </w:p>
        </w:tc>
        <w:tc>
          <w:tcPr>
            <w:tcW w:w="1305"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6F573EDB" w14:textId="77777777">
            <w:pPr>
              <w:jc w:val="center"/>
              <w:rPr>
                <w:rFonts w:ascii="Calibri" w:hAnsi="Calibri" w:cs="Calibri"/>
                <w:color w:val="000000"/>
                <w:sz w:val="20"/>
                <w:szCs w:val="20"/>
              </w:rPr>
            </w:pPr>
            <w:r>
              <w:rPr>
                <w:rFonts w:ascii="Calibri" w:hAnsi="Calibri" w:cs="Calibri"/>
                <w:color w:val="000000"/>
                <w:sz w:val="20"/>
                <w:szCs w:val="20"/>
              </w:rPr>
              <w:t>0</w:t>
            </w:r>
          </w:p>
        </w:tc>
        <w:tc>
          <w:tcPr>
            <w:tcW w:w="1305"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0113397E" w14:textId="77777777">
            <w:pPr>
              <w:jc w:val="center"/>
              <w:rPr>
                <w:rFonts w:ascii="Calibri" w:hAnsi="Calibri" w:cs="Calibri"/>
                <w:color w:val="000000"/>
                <w:sz w:val="20"/>
                <w:szCs w:val="20"/>
              </w:rPr>
            </w:pPr>
          </w:p>
        </w:tc>
        <w:tc>
          <w:tcPr>
            <w:tcW w:w="832" w:type="dxa"/>
            <w:vMerge w:val="restart"/>
            <w:tcBorders>
              <w:top w:val="single" w:sz="8" w:space="0" w:color="auto"/>
              <w:left w:val="single" w:sz="8" w:space="0" w:color="auto"/>
              <w:bottom w:val="nil"/>
              <w:right w:val="single" w:sz="8" w:space="0" w:color="auto"/>
            </w:tcBorders>
            <w:shd w:val="clear" w:color="000000" w:fill="FFFFFF"/>
            <w:vAlign w:val="center"/>
            <w:hideMark/>
          </w:tcPr>
          <w:p w:rsidR="000844A0" w14:paraId="599159D5" w14:textId="77777777">
            <w:pPr>
              <w:jc w:val="center"/>
              <w:rPr>
                <w:rFonts w:ascii="Calibri" w:hAnsi="Calibri" w:cs="Calibri"/>
                <w:color w:val="000000"/>
                <w:sz w:val="20"/>
                <w:szCs w:val="20"/>
              </w:rPr>
            </w:pPr>
            <w:r>
              <w:rPr>
                <w:rFonts w:ascii="Calibri" w:hAnsi="Calibri" w:cs="Calibri"/>
                <w:color w:val="000000"/>
                <w:sz w:val="20"/>
                <w:szCs w:val="20"/>
              </w:rPr>
              <w:t>1</w:t>
            </w:r>
          </w:p>
        </w:tc>
      </w:tr>
      <w:tr w14:paraId="3361A2D5" w14:textId="77777777" w:rsidTr="000844A0">
        <w:tblPrEx>
          <w:tblW w:w="14460" w:type="dxa"/>
          <w:tblCellMar>
            <w:top w:w="15" w:type="dxa"/>
            <w:left w:w="70" w:type="dxa"/>
            <w:bottom w:w="15" w:type="dxa"/>
            <w:right w:w="70" w:type="dxa"/>
          </w:tblCellMar>
          <w:tblLook w:val="04A0"/>
        </w:tblPrEx>
        <w:trPr>
          <w:trHeight w:val="315"/>
        </w:trPr>
        <w:tc>
          <w:tcPr>
            <w:tcW w:w="1838" w:type="dxa"/>
            <w:vMerge/>
            <w:tcBorders>
              <w:top w:val="single" w:sz="8" w:space="0" w:color="auto"/>
              <w:left w:val="single" w:sz="8" w:space="0" w:color="auto"/>
              <w:bottom w:val="nil"/>
              <w:right w:val="single" w:sz="8" w:space="0" w:color="auto"/>
            </w:tcBorders>
            <w:vAlign w:val="center"/>
            <w:hideMark/>
          </w:tcPr>
          <w:p w:rsidR="000844A0" w14:paraId="2BAF2DD9" w14:textId="77777777">
            <w:pPr>
              <w:rPr>
                <w:rFonts w:ascii="Calibri" w:hAnsi="Calibri" w:cs="Calibri"/>
                <w:color w:val="000000"/>
                <w:sz w:val="20"/>
                <w:szCs w:val="20"/>
              </w:rPr>
            </w:pPr>
          </w:p>
        </w:tc>
        <w:tc>
          <w:tcPr>
            <w:tcW w:w="2405" w:type="dxa"/>
            <w:vMerge/>
            <w:tcBorders>
              <w:top w:val="single" w:sz="8" w:space="0" w:color="auto"/>
              <w:left w:val="single" w:sz="8" w:space="0" w:color="auto"/>
              <w:bottom w:val="nil"/>
              <w:right w:val="single" w:sz="8" w:space="0" w:color="auto"/>
            </w:tcBorders>
            <w:vAlign w:val="center"/>
            <w:hideMark/>
          </w:tcPr>
          <w:p w:rsidR="000844A0" w14:paraId="7A7EA53C" w14:textId="77777777">
            <w:pPr>
              <w:rPr>
                <w:rFonts w:ascii="Calibri" w:hAnsi="Calibri" w:cs="Calibri"/>
                <w:color w:val="000000"/>
                <w:sz w:val="20"/>
                <w:szCs w:val="20"/>
              </w:rPr>
            </w:pPr>
          </w:p>
        </w:tc>
        <w:tc>
          <w:tcPr>
            <w:tcW w:w="1374" w:type="dxa"/>
            <w:vMerge/>
            <w:tcBorders>
              <w:top w:val="single" w:sz="8" w:space="0" w:color="auto"/>
              <w:left w:val="single" w:sz="8" w:space="0" w:color="auto"/>
              <w:bottom w:val="nil"/>
              <w:right w:val="single" w:sz="8" w:space="0" w:color="auto"/>
            </w:tcBorders>
            <w:vAlign w:val="center"/>
            <w:hideMark/>
          </w:tcPr>
          <w:p w:rsidR="000844A0" w14:paraId="6795F2F8" w14:textId="77777777">
            <w:pPr>
              <w:rPr>
                <w:rFonts w:ascii="Calibri" w:hAnsi="Calibri" w:cs="Calibri"/>
                <w:color w:val="000000"/>
                <w:sz w:val="20"/>
                <w:szCs w:val="20"/>
              </w:rPr>
            </w:pPr>
          </w:p>
        </w:tc>
        <w:tc>
          <w:tcPr>
            <w:tcW w:w="911" w:type="dxa"/>
            <w:vMerge/>
            <w:tcBorders>
              <w:top w:val="single" w:sz="8" w:space="0" w:color="auto"/>
              <w:left w:val="single" w:sz="8" w:space="0" w:color="auto"/>
              <w:bottom w:val="nil"/>
              <w:right w:val="single" w:sz="8" w:space="0" w:color="auto"/>
            </w:tcBorders>
            <w:vAlign w:val="center"/>
            <w:hideMark/>
          </w:tcPr>
          <w:p w:rsidR="000844A0" w14:paraId="7E96FDD0" w14:textId="77777777">
            <w:pPr>
              <w:rPr>
                <w:rFonts w:ascii="Calibri" w:hAnsi="Calibri" w:cs="Calibri"/>
                <w:color w:val="000000"/>
                <w:sz w:val="20"/>
                <w:szCs w:val="20"/>
              </w:rPr>
            </w:pPr>
          </w:p>
        </w:tc>
        <w:tc>
          <w:tcPr>
            <w:tcW w:w="911" w:type="dxa"/>
            <w:vMerge/>
            <w:tcBorders>
              <w:top w:val="single" w:sz="8" w:space="0" w:color="auto"/>
              <w:left w:val="single" w:sz="8" w:space="0" w:color="auto"/>
              <w:bottom w:val="nil"/>
              <w:right w:val="single" w:sz="8" w:space="0" w:color="auto"/>
            </w:tcBorders>
            <w:vAlign w:val="center"/>
            <w:hideMark/>
          </w:tcPr>
          <w:p w:rsidR="000844A0" w14:paraId="01942015" w14:textId="77777777">
            <w:pPr>
              <w:rPr>
                <w:rFonts w:ascii="Calibri" w:hAnsi="Calibri" w:cs="Calibri"/>
                <w:color w:val="000000"/>
                <w:sz w:val="20"/>
                <w:szCs w:val="20"/>
              </w:rPr>
            </w:pPr>
          </w:p>
        </w:tc>
        <w:tc>
          <w:tcPr>
            <w:tcW w:w="952" w:type="dxa"/>
            <w:vMerge/>
            <w:tcBorders>
              <w:top w:val="single" w:sz="8" w:space="0" w:color="auto"/>
              <w:left w:val="single" w:sz="8" w:space="0" w:color="auto"/>
              <w:bottom w:val="nil"/>
              <w:right w:val="single" w:sz="8" w:space="0" w:color="auto"/>
            </w:tcBorders>
            <w:vAlign w:val="center"/>
            <w:hideMark/>
          </w:tcPr>
          <w:p w:rsidR="000844A0" w14:paraId="2A9F8180" w14:textId="77777777">
            <w:pPr>
              <w:rPr>
                <w:rFonts w:ascii="Calibri" w:hAnsi="Calibri" w:cs="Calibri"/>
                <w:color w:val="000000"/>
                <w:sz w:val="20"/>
                <w:szCs w:val="20"/>
              </w:rPr>
            </w:pPr>
          </w:p>
        </w:tc>
        <w:tc>
          <w:tcPr>
            <w:tcW w:w="1176" w:type="dxa"/>
            <w:vMerge/>
            <w:tcBorders>
              <w:top w:val="single" w:sz="8" w:space="0" w:color="auto"/>
              <w:left w:val="single" w:sz="8" w:space="0" w:color="auto"/>
              <w:bottom w:val="nil"/>
              <w:right w:val="single" w:sz="8" w:space="0" w:color="auto"/>
            </w:tcBorders>
            <w:vAlign w:val="center"/>
            <w:hideMark/>
          </w:tcPr>
          <w:p w:rsidR="000844A0" w14:paraId="4437C3FF" w14:textId="77777777">
            <w:pPr>
              <w:rPr>
                <w:rFonts w:ascii="Calibri" w:hAnsi="Calibri" w:cs="Calibri"/>
                <w:color w:val="000000"/>
                <w:sz w:val="20"/>
                <w:szCs w:val="20"/>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2A66F155" w14:textId="77777777">
            <w:pPr>
              <w:rPr>
                <w:rFonts w:ascii="Calibri" w:hAnsi="Calibri" w:cs="Calibri"/>
                <w:color w:val="000000"/>
                <w:sz w:val="20"/>
                <w:szCs w:val="20"/>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4A450406" w14:textId="77777777">
            <w:pPr>
              <w:rPr>
                <w:rFonts w:ascii="Calibri" w:hAnsi="Calibri" w:cs="Calibri"/>
                <w:color w:val="000000"/>
                <w:sz w:val="20"/>
                <w:szCs w:val="20"/>
              </w:rPr>
            </w:pPr>
          </w:p>
        </w:tc>
        <w:tc>
          <w:tcPr>
            <w:tcW w:w="1305" w:type="dxa"/>
            <w:vMerge/>
            <w:tcBorders>
              <w:top w:val="single" w:sz="8" w:space="0" w:color="auto"/>
              <w:left w:val="single" w:sz="8" w:space="0" w:color="auto"/>
              <w:bottom w:val="nil"/>
              <w:right w:val="single" w:sz="8" w:space="0" w:color="auto"/>
            </w:tcBorders>
            <w:vAlign w:val="center"/>
            <w:hideMark/>
          </w:tcPr>
          <w:p w:rsidR="000844A0" w14:paraId="54B83238" w14:textId="77777777">
            <w:pPr>
              <w:rPr>
                <w:rFonts w:ascii="Calibri" w:hAnsi="Calibri" w:cs="Calibri"/>
                <w:color w:val="000000"/>
                <w:sz w:val="20"/>
                <w:szCs w:val="20"/>
              </w:rPr>
            </w:pPr>
          </w:p>
        </w:tc>
        <w:tc>
          <w:tcPr>
            <w:tcW w:w="832" w:type="dxa"/>
            <w:vMerge/>
            <w:tcBorders>
              <w:top w:val="single" w:sz="8" w:space="0" w:color="auto"/>
              <w:left w:val="single" w:sz="8" w:space="0" w:color="auto"/>
              <w:bottom w:val="nil"/>
              <w:right w:val="single" w:sz="8" w:space="0" w:color="auto"/>
            </w:tcBorders>
            <w:vAlign w:val="center"/>
            <w:hideMark/>
          </w:tcPr>
          <w:p w:rsidR="000844A0" w14:paraId="396B7898" w14:textId="77777777">
            <w:pPr>
              <w:rPr>
                <w:rFonts w:ascii="Calibri" w:hAnsi="Calibri" w:cs="Calibri"/>
                <w:color w:val="000000"/>
                <w:sz w:val="20"/>
                <w:szCs w:val="20"/>
              </w:rPr>
            </w:pPr>
          </w:p>
        </w:tc>
        <w:tc>
          <w:tcPr>
            <w:tcW w:w="146" w:type="dxa"/>
            <w:tcBorders>
              <w:top w:val="nil"/>
              <w:left w:val="nil"/>
              <w:bottom w:val="nil"/>
              <w:right w:val="nil"/>
            </w:tcBorders>
            <w:noWrap/>
            <w:vAlign w:val="bottom"/>
            <w:hideMark/>
          </w:tcPr>
          <w:p w:rsidR="000844A0" w14:paraId="6AFE286C" w14:textId="77777777">
            <w:pPr>
              <w:jc w:val="center"/>
              <w:rPr>
                <w:rFonts w:ascii="Calibri" w:hAnsi="Calibri" w:cs="Calibri"/>
                <w:color w:val="000000"/>
                <w:sz w:val="20"/>
                <w:szCs w:val="20"/>
              </w:rPr>
            </w:pPr>
          </w:p>
        </w:tc>
      </w:tr>
    </w:tbl>
    <w:p w:rsidR="00B677A8" w:rsidRPr="00C24606" w:rsidP="00C709C0" w14:paraId="11BC85F5" w14:textId="77777777">
      <w:pPr>
        <w:jc w:val="both"/>
        <w:rPr>
          <w:rFonts w:asciiTheme="minorHAnsi" w:hAnsiTheme="minorHAnsi" w:cstheme="minorHAnsi"/>
        </w:rPr>
      </w:pPr>
    </w:p>
    <w:p w:rsidR="0087078A" w:rsidP="00C709C0" w14:paraId="3AFEB2A8" w14:textId="01F65D98">
      <w:pPr>
        <w:jc w:val="both"/>
        <w:rPr>
          <w:rFonts w:asciiTheme="minorHAnsi" w:hAnsiTheme="minorHAnsi" w:cstheme="minorHAnsi"/>
          <w:sz w:val="20"/>
          <w:szCs w:val="20"/>
        </w:rPr>
      </w:pPr>
      <w:r w:rsidRPr="00B677A8">
        <w:rPr>
          <w:rFonts w:asciiTheme="minorHAnsi" w:hAnsiTheme="minorHAnsi" w:cstheme="minorHAnsi"/>
          <w:sz w:val="20"/>
          <w:szCs w:val="20"/>
        </w:rPr>
        <w:t xml:space="preserve">Tab. č. 4: Indikátory dopadů na úrovni </w:t>
      </w:r>
      <w:r w:rsidRPr="00B677A8" w:rsidR="00AE3771">
        <w:rPr>
          <w:rFonts w:asciiTheme="minorHAnsi" w:hAnsiTheme="minorHAnsi" w:cstheme="minorHAnsi"/>
          <w:sz w:val="20"/>
          <w:szCs w:val="20"/>
        </w:rPr>
        <w:t xml:space="preserve">Strategického rámce </w:t>
      </w:r>
      <w:r w:rsidRPr="00B677A8">
        <w:rPr>
          <w:rFonts w:asciiTheme="minorHAnsi" w:hAnsiTheme="minorHAnsi" w:cstheme="minorHAnsi"/>
          <w:sz w:val="20"/>
          <w:szCs w:val="20"/>
        </w:rPr>
        <w:t xml:space="preserve">Zdraví </w:t>
      </w:r>
      <w:r w:rsidRPr="00B677A8" w:rsidR="00514ECA">
        <w:rPr>
          <w:rFonts w:asciiTheme="minorHAnsi" w:hAnsiTheme="minorHAnsi" w:cstheme="minorHAnsi"/>
          <w:sz w:val="20"/>
          <w:szCs w:val="20"/>
        </w:rPr>
        <w:t>2035</w:t>
      </w:r>
    </w:p>
    <w:p w:rsidR="00B677A8" w:rsidRPr="00B677A8" w:rsidP="00C709C0" w14:paraId="097F2466" w14:textId="77777777">
      <w:pPr>
        <w:jc w:val="both"/>
        <w:rPr>
          <w:rFonts w:asciiTheme="minorHAnsi" w:hAnsiTheme="minorHAnsi" w:cstheme="minorHAnsi"/>
          <w:sz w:val="20"/>
          <w:szCs w:val="20"/>
        </w:rPr>
      </w:pPr>
    </w:p>
    <w:p w:rsidR="00B677A8" w:rsidRPr="002E2404" w:rsidP="00B677A8" w14:paraId="4556FF58"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C13797" w:rsidRPr="00C24606" w:rsidP="00C709C0" w14:paraId="2B20E4A4" w14:textId="77777777">
      <w:pPr>
        <w:jc w:val="both"/>
        <w:rPr>
          <w:rFonts w:asciiTheme="minorHAnsi" w:hAnsiTheme="minorHAnsi" w:cstheme="minorHAnsi"/>
          <w:highlight w:val="cyan"/>
        </w:rPr>
      </w:pPr>
    </w:p>
    <w:p w:rsidR="00DD2A28" w:rsidRPr="00C24606" w:rsidP="00C709C0" w14:paraId="27F02087" w14:textId="7754C4DF">
      <w:pPr>
        <w:jc w:val="both"/>
        <w:rPr>
          <w:rFonts w:asciiTheme="minorHAnsi" w:hAnsiTheme="minorHAnsi" w:cstheme="minorHAnsi"/>
        </w:rPr>
      </w:pPr>
      <w:r w:rsidRPr="00C24606">
        <w:rPr>
          <w:rFonts w:asciiTheme="minorHAnsi" w:hAnsiTheme="minorHAnsi" w:cstheme="minorHAnsi"/>
        </w:rPr>
        <w:t xml:space="preserve">Následně je pak u každého specifického cíle uveden soubor indikátorů, jak dopadových, tak výstupových/výsledkových pro každý dílčí cíl. </w:t>
      </w:r>
      <w:r w:rsidR="00514ECA">
        <w:rPr>
          <w:rFonts w:asciiTheme="minorHAnsi" w:hAnsiTheme="minorHAnsi" w:cs="Arial"/>
        </w:rPr>
        <w:t xml:space="preserve">Tyto jsou podrobně rozepsány v příloze č. 1 </w:t>
      </w:r>
      <w:r w:rsidRPr="00636492" w:rsidR="00636492">
        <w:rPr>
          <w:rFonts w:asciiTheme="minorHAnsi" w:hAnsiTheme="minorHAnsi" w:cs="Arial"/>
        </w:rPr>
        <w:t>Strategického rámce Zdraví 2035 Indikátorová sada</w:t>
      </w:r>
      <w:r w:rsidR="00514ECA">
        <w:rPr>
          <w:rFonts w:asciiTheme="minorHAnsi" w:hAnsiTheme="minorHAnsi" w:cs="Arial"/>
        </w:rPr>
        <w:t>.</w:t>
      </w:r>
    </w:p>
    <w:p w:rsidR="00E6017A" w:rsidRPr="00C24606" w:rsidP="00C709C0" w14:paraId="421C9051" w14:textId="77777777">
      <w:pPr>
        <w:jc w:val="both"/>
        <w:rPr>
          <w:rFonts w:asciiTheme="minorHAnsi" w:hAnsiTheme="minorHAnsi" w:cstheme="minorHAnsi"/>
        </w:rPr>
      </w:pPr>
    </w:p>
    <w:p w:rsidR="00075D1F" w:rsidRPr="00C24606" w:rsidP="00C709C0" w14:paraId="6FA508BA" w14:textId="7A713E4F">
      <w:pPr>
        <w:autoSpaceDE w:val="0"/>
        <w:autoSpaceDN w:val="0"/>
        <w:adjustRightInd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Indikátory budou průběžně vytvářeny v souladu s přijatou Indikátorovou soustavou pro monitorování a hodnocení výstupů a výsledků elektronického zdravotnictví (</w:t>
      </w:r>
      <w:r w:rsidRPr="00C24606" w:rsidR="00806A1F">
        <w:rPr>
          <w:rFonts w:asciiTheme="minorHAnsi" w:eastAsiaTheme="minorHAnsi" w:hAnsiTheme="minorHAnsi" w:cstheme="minorHAnsi"/>
          <w:noProof/>
          <w:lang w:eastAsia="en-US"/>
        </w:rPr>
        <w:t>Digitalizace zdravotnictví).</w:t>
      </w:r>
    </w:p>
    <w:p w:rsidR="00075D1F" w:rsidRPr="00C24606" w:rsidP="00C709C0" w14:paraId="021D02BB" w14:textId="77777777">
      <w:pPr>
        <w:autoSpaceDE w:val="0"/>
        <w:autoSpaceDN w:val="0"/>
        <w:adjustRightInd w:val="0"/>
        <w:jc w:val="both"/>
        <w:rPr>
          <w:rFonts w:asciiTheme="minorHAnsi" w:eastAsiaTheme="minorHAnsi" w:hAnsiTheme="minorHAnsi" w:cstheme="minorHAnsi"/>
          <w:noProof/>
          <w:lang w:eastAsia="en-US"/>
        </w:rPr>
      </w:pPr>
    </w:p>
    <w:p w:rsidR="00991B1A" w:rsidRPr="00C24606" w:rsidP="00C709C0" w14:paraId="72DA7110" w14:textId="42E894E6">
      <w:pPr>
        <w:autoSpaceDE w:val="0"/>
        <w:autoSpaceDN w:val="0"/>
        <w:adjustRightInd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 xml:space="preserve">Cílem indikátorové soustavy je především poskytnout: </w:t>
      </w:r>
    </w:p>
    <w:p w:rsidR="00991B1A" w:rsidRPr="00C24606" w:rsidP="00C709C0" w14:paraId="41305D23" w14:textId="77777777">
      <w:pPr>
        <w:autoSpaceDE w:val="0"/>
        <w:autoSpaceDN w:val="0"/>
        <w:adjustRightInd w:val="0"/>
        <w:spacing w:after="34"/>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 xml:space="preserve">1. Podklad pro monitorování elektronického zdravotnictví </w:t>
      </w:r>
    </w:p>
    <w:p w:rsidR="00991B1A" w:rsidRPr="00C24606" w:rsidP="00C709C0" w14:paraId="7771D7F6" w14:textId="77777777">
      <w:pPr>
        <w:autoSpaceDE w:val="0"/>
        <w:autoSpaceDN w:val="0"/>
        <w:adjustRightInd w:val="0"/>
        <w:spacing w:after="34"/>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 xml:space="preserve">2. Podklad pro hodnocení elektronického zdravotnictví </w:t>
      </w:r>
    </w:p>
    <w:p w:rsidR="00991B1A" w:rsidRPr="00C24606" w:rsidP="00C709C0" w14:paraId="6576E6CF" w14:textId="77777777">
      <w:pPr>
        <w:autoSpaceDE w:val="0"/>
        <w:autoSpaceDN w:val="0"/>
        <w:adjustRightInd w:val="0"/>
        <w:spacing w:after="34"/>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3. Nástroj pro případnou aktualizaci</w:t>
      </w:r>
      <w:r w:rsidRPr="00C24606" w:rsidR="00C637F0">
        <w:rPr>
          <w:rFonts w:asciiTheme="minorHAnsi" w:eastAsiaTheme="minorHAnsi" w:hAnsiTheme="minorHAnsi" w:cstheme="minorHAnsi"/>
          <w:noProof/>
          <w:lang w:eastAsia="en-US"/>
        </w:rPr>
        <w:t xml:space="preserve"> strategických</w:t>
      </w:r>
      <w:r w:rsidRPr="00C24606">
        <w:rPr>
          <w:rFonts w:asciiTheme="minorHAnsi" w:eastAsiaTheme="minorHAnsi" w:hAnsiTheme="minorHAnsi" w:cstheme="minorHAnsi"/>
          <w:noProof/>
          <w:lang w:eastAsia="en-US"/>
        </w:rPr>
        <w:t xml:space="preserve"> dokumentů </w:t>
      </w:r>
    </w:p>
    <w:p w:rsidR="00991B1A" w:rsidRPr="00C24606" w:rsidP="00C709C0" w14:paraId="1D818983" w14:textId="77777777">
      <w:pPr>
        <w:autoSpaceDE w:val="0"/>
        <w:autoSpaceDN w:val="0"/>
        <w:adjustRightInd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 xml:space="preserve">4. Nástroj pro zařazování nové služby/produktu do systému elektronického zdravotnictví, kvantifikaci přínosů plánovaných projektů a prospěšnosti nových produktů či služeb. </w:t>
      </w:r>
    </w:p>
    <w:p w:rsidR="00D0248C" w:rsidRPr="00C24606" w:rsidP="00C709C0" w14:paraId="0D85392A" w14:textId="5591BEA0">
      <w:pPr>
        <w:autoSpaceDE w:val="0"/>
        <w:autoSpaceDN w:val="0"/>
        <w:adjustRightInd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 xml:space="preserve">Indikátorová soustava bude revidována </w:t>
      </w:r>
      <w:r w:rsidRPr="00C24606" w:rsidR="00F47A92">
        <w:rPr>
          <w:rFonts w:asciiTheme="minorHAnsi" w:eastAsiaTheme="minorHAnsi" w:hAnsiTheme="minorHAnsi" w:cstheme="minorHAnsi"/>
          <w:noProof/>
          <w:lang w:eastAsia="en-US"/>
        </w:rPr>
        <w:t>v souladu s</w:t>
      </w:r>
      <w:r w:rsidRPr="00C24606" w:rsidR="00D277A4">
        <w:rPr>
          <w:rFonts w:asciiTheme="minorHAnsi" w:eastAsiaTheme="minorHAnsi" w:hAnsiTheme="minorHAnsi" w:cstheme="minorHAnsi"/>
          <w:noProof/>
          <w:lang w:eastAsia="en-US"/>
        </w:rPr>
        <w:t xml:space="preserve">e systémem monitorování nastaveným pro Strategický rámec Zdraví </w:t>
      </w:r>
      <w:r w:rsidRPr="00C24606" w:rsidR="00514ECA">
        <w:rPr>
          <w:rFonts w:asciiTheme="minorHAnsi" w:eastAsiaTheme="minorHAnsi" w:hAnsiTheme="minorHAnsi" w:cstheme="minorHAnsi"/>
          <w:noProof/>
          <w:lang w:eastAsia="en-US"/>
        </w:rPr>
        <w:t>203</w:t>
      </w:r>
      <w:r w:rsidR="00514ECA">
        <w:rPr>
          <w:rFonts w:asciiTheme="minorHAnsi" w:eastAsiaTheme="minorHAnsi" w:hAnsiTheme="minorHAnsi" w:cstheme="minorHAnsi"/>
          <w:noProof/>
          <w:lang w:eastAsia="en-US"/>
        </w:rPr>
        <w:t>5</w:t>
      </w:r>
      <w:r w:rsidRPr="00C24606" w:rsidR="00D277A4">
        <w:rPr>
          <w:rFonts w:asciiTheme="minorHAnsi" w:eastAsiaTheme="minorHAnsi" w:hAnsiTheme="minorHAnsi" w:cstheme="minorHAnsi"/>
          <w:noProof/>
          <w:lang w:eastAsia="en-US"/>
        </w:rPr>
        <w:t>.</w:t>
      </w:r>
      <w:r w:rsidRPr="00C24606">
        <w:rPr>
          <w:rFonts w:asciiTheme="minorHAnsi" w:eastAsiaTheme="minorHAnsi" w:hAnsiTheme="minorHAnsi" w:cstheme="minorHAnsi"/>
          <w:noProof/>
          <w:lang w:eastAsia="en-US"/>
        </w:rPr>
        <w:t xml:space="preserve"> </w:t>
      </w:r>
    </w:p>
    <w:p w:rsidR="001D2BF2" w:rsidRPr="00C24606" w:rsidP="00C709C0" w14:paraId="149C497F" w14:textId="77777777">
      <w:pPr>
        <w:autoSpaceDE w:val="0"/>
        <w:autoSpaceDN w:val="0"/>
        <w:adjustRightInd w:val="0"/>
        <w:jc w:val="both"/>
        <w:rPr>
          <w:rFonts w:asciiTheme="minorHAnsi" w:eastAsiaTheme="minorHAnsi" w:hAnsiTheme="minorHAnsi" w:cstheme="minorHAnsi"/>
          <w:noProof/>
          <w:lang w:eastAsia="en-US"/>
        </w:rPr>
      </w:pPr>
    </w:p>
    <w:p w:rsidR="00D0248C" w:rsidRPr="00C24606" w:rsidP="00C709C0" w14:paraId="4AEEBA2D" w14:textId="433CF553">
      <w:pPr>
        <w:autoSpaceDE w:val="0"/>
        <w:autoSpaceDN w:val="0"/>
        <w:adjustRightInd w:val="0"/>
        <w:jc w:val="both"/>
        <w:rPr>
          <w:rFonts w:asciiTheme="minorHAnsi" w:eastAsiaTheme="minorHAnsi" w:hAnsiTheme="minorHAnsi" w:cstheme="minorHAnsi"/>
          <w:noProof/>
          <w:lang w:eastAsia="en-US"/>
        </w:rPr>
      </w:pPr>
      <w:r w:rsidRPr="00C24606">
        <w:rPr>
          <w:rFonts w:asciiTheme="minorHAnsi" w:eastAsiaTheme="minorHAnsi" w:hAnsiTheme="minorHAnsi" w:cstheme="minorHAnsi"/>
          <w:noProof/>
          <w:lang w:eastAsia="en-US"/>
        </w:rPr>
        <w:t>Konkrétně je třeba aktualizaci</w:t>
      </w:r>
      <w:r w:rsidRPr="00C24606" w:rsidR="00C637F0">
        <w:rPr>
          <w:rFonts w:asciiTheme="minorHAnsi" w:eastAsiaTheme="minorHAnsi" w:hAnsiTheme="minorHAnsi" w:cstheme="minorHAnsi"/>
          <w:noProof/>
          <w:lang w:eastAsia="en-US"/>
        </w:rPr>
        <w:t xml:space="preserve"> indikátorové soustavy </w:t>
      </w:r>
      <w:r w:rsidRPr="00C24606">
        <w:rPr>
          <w:rFonts w:asciiTheme="minorHAnsi" w:eastAsiaTheme="minorHAnsi" w:hAnsiTheme="minorHAnsi" w:cstheme="minorHAnsi"/>
          <w:noProof/>
          <w:lang w:eastAsia="en-US"/>
        </w:rPr>
        <w:t xml:space="preserve">zvážit především v následujících případech: </w:t>
      </w:r>
    </w:p>
    <w:p w:rsidR="00D0248C" w:rsidRPr="00F56F53" w:rsidP="00C709C0" w14:paraId="436939D9" w14:textId="67F178D3">
      <w:pPr>
        <w:pStyle w:val="ListParagraph"/>
        <w:numPr>
          <w:ilvl w:val="0"/>
          <w:numId w:val="37"/>
        </w:numPr>
        <w:autoSpaceDE w:val="0"/>
        <w:autoSpaceDN w:val="0"/>
        <w:adjustRightInd w:val="0"/>
        <w:spacing w:after="34"/>
        <w:jc w:val="both"/>
        <w:rPr>
          <w:rFonts w:asciiTheme="minorHAnsi" w:eastAsiaTheme="minorHAnsi" w:hAnsiTheme="minorHAnsi" w:cstheme="minorHAnsi"/>
          <w:noProof/>
          <w:lang w:eastAsia="en-US"/>
        </w:rPr>
      </w:pPr>
      <w:r w:rsidRPr="00F56F53">
        <w:rPr>
          <w:rFonts w:asciiTheme="minorHAnsi" w:eastAsiaTheme="minorHAnsi" w:hAnsiTheme="minorHAnsi" w:cstheme="minorHAnsi"/>
          <w:noProof/>
          <w:lang w:eastAsia="en-US"/>
        </w:rPr>
        <w:t xml:space="preserve">Po provedených hodnoceních (evaluacích), pokud se ukáže, že indikátorová soustava již nereflektuje stav a vývoj elektronizace zdravotnictví </w:t>
      </w:r>
    </w:p>
    <w:p w:rsidR="00D0248C" w:rsidRPr="00F56F53" w:rsidP="00C709C0" w14:paraId="36DD0A15" w14:textId="09E7EF41">
      <w:pPr>
        <w:pStyle w:val="ListParagraph"/>
        <w:numPr>
          <w:ilvl w:val="0"/>
          <w:numId w:val="37"/>
        </w:numPr>
        <w:autoSpaceDE w:val="0"/>
        <w:autoSpaceDN w:val="0"/>
        <w:adjustRightInd w:val="0"/>
        <w:spacing w:after="34"/>
        <w:jc w:val="both"/>
        <w:rPr>
          <w:rFonts w:asciiTheme="minorHAnsi" w:eastAsiaTheme="minorHAnsi" w:hAnsiTheme="minorHAnsi" w:cstheme="minorHAnsi"/>
          <w:noProof/>
          <w:lang w:eastAsia="en-US"/>
        </w:rPr>
      </w:pPr>
      <w:r w:rsidRPr="00F56F53">
        <w:rPr>
          <w:rFonts w:asciiTheme="minorHAnsi" w:eastAsiaTheme="minorHAnsi" w:hAnsiTheme="minorHAnsi" w:cstheme="minorHAnsi"/>
          <w:noProof/>
          <w:lang w:eastAsia="en-US"/>
        </w:rPr>
        <w:t xml:space="preserve">V případě významného posunu v oblasti elektronizace zdravotnictví, např. na základě spuštění nové služby elektronického zdravotnictví </w:t>
      </w:r>
    </w:p>
    <w:p w:rsidR="00D0248C" w:rsidRPr="00F56F53" w:rsidP="00C709C0" w14:paraId="58D88FB5" w14:textId="14860B05">
      <w:pPr>
        <w:pStyle w:val="ListParagraph"/>
        <w:numPr>
          <w:ilvl w:val="0"/>
          <w:numId w:val="37"/>
        </w:numPr>
        <w:autoSpaceDE w:val="0"/>
        <w:autoSpaceDN w:val="0"/>
        <w:adjustRightInd w:val="0"/>
        <w:spacing w:after="34"/>
        <w:jc w:val="both"/>
        <w:rPr>
          <w:rFonts w:asciiTheme="minorHAnsi" w:eastAsiaTheme="minorHAnsi" w:hAnsiTheme="minorHAnsi" w:cstheme="minorHAnsi"/>
          <w:noProof/>
          <w:lang w:eastAsia="en-US"/>
        </w:rPr>
      </w:pPr>
      <w:r w:rsidRPr="00F56F53">
        <w:rPr>
          <w:rFonts w:asciiTheme="minorHAnsi" w:eastAsiaTheme="minorHAnsi" w:hAnsiTheme="minorHAnsi" w:cstheme="minorHAnsi"/>
          <w:noProof/>
          <w:lang w:eastAsia="en-US"/>
        </w:rPr>
        <w:t>Při přijetí zákona o elektroni</w:t>
      </w:r>
      <w:r w:rsidRPr="00F56F53" w:rsidR="00C637F0">
        <w:rPr>
          <w:rFonts w:asciiTheme="minorHAnsi" w:eastAsiaTheme="minorHAnsi" w:hAnsiTheme="minorHAnsi" w:cstheme="minorHAnsi"/>
          <w:noProof/>
          <w:lang w:eastAsia="en-US"/>
        </w:rPr>
        <w:t xml:space="preserve">ckém </w:t>
      </w:r>
      <w:r w:rsidRPr="00F56F53">
        <w:rPr>
          <w:rFonts w:asciiTheme="minorHAnsi" w:eastAsiaTheme="minorHAnsi" w:hAnsiTheme="minorHAnsi" w:cstheme="minorHAnsi"/>
          <w:noProof/>
          <w:lang w:eastAsia="en-US"/>
        </w:rPr>
        <w:t xml:space="preserve">zdravotnictví, případně dalších zákonů (či novel) souvisejících s elektronickým zdravotnictvím </w:t>
      </w:r>
    </w:p>
    <w:p w:rsidR="00D0248C" w:rsidRPr="00F56F53" w:rsidP="00C709C0" w14:paraId="070E08EB" w14:textId="36302EA8">
      <w:pPr>
        <w:pStyle w:val="ListParagraph"/>
        <w:numPr>
          <w:ilvl w:val="0"/>
          <w:numId w:val="37"/>
        </w:numPr>
        <w:autoSpaceDE w:val="0"/>
        <w:autoSpaceDN w:val="0"/>
        <w:adjustRightInd w:val="0"/>
        <w:jc w:val="both"/>
        <w:rPr>
          <w:rFonts w:asciiTheme="minorHAnsi" w:eastAsiaTheme="minorHAnsi" w:hAnsiTheme="minorHAnsi" w:cstheme="minorHAnsi"/>
          <w:noProof/>
          <w:lang w:eastAsia="en-US"/>
        </w:rPr>
      </w:pPr>
      <w:r w:rsidRPr="00F56F53">
        <w:rPr>
          <w:rFonts w:asciiTheme="minorHAnsi" w:eastAsiaTheme="minorHAnsi" w:hAnsiTheme="minorHAnsi" w:cstheme="minorHAnsi"/>
          <w:noProof/>
          <w:lang w:eastAsia="en-US"/>
        </w:rPr>
        <w:t xml:space="preserve">V rámci aktualizace </w:t>
      </w:r>
      <w:r w:rsidRPr="00F56F53" w:rsidR="00AA289E">
        <w:rPr>
          <w:rFonts w:asciiTheme="minorHAnsi" w:eastAsiaTheme="minorHAnsi" w:hAnsiTheme="minorHAnsi" w:cstheme="minorHAnsi"/>
          <w:noProof/>
          <w:lang w:eastAsia="en-US"/>
        </w:rPr>
        <w:t>prováděcích a strategických dokum</w:t>
      </w:r>
      <w:r w:rsidRPr="00F56F53" w:rsidR="00F43780">
        <w:rPr>
          <w:rFonts w:asciiTheme="minorHAnsi" w:eastAsiaTheme="minorHAnsi" w:hAnsiTheme="minorHAnsi" w:cstheme="minorHAnsi"/>
          <w:noProof/>
          <w:lang w:eastAsia="en-US"/>
        </w:rPr>
        <w:t>entů (</w:t>
      </w:r>
      <w:r w:rsidRPr="00F56F53" w:rsidR="0087225D">
        <w:rPr>
          <w:rFonts w:asciiTheme="minorHAnsi" w:eastAsiaTheme="minorHAnsi" w:hAnsiTheme="minorHAnsi" w:cstheme="minorHAnsi"/>
          <w:noProof/>
          <w:lang w:eastAsia="en-US"/>
        </w:rPr>
        <w:t xml:space="preserve">Strategický rámec </w:t>
      </w:r>
      <w:r w:rsidRPr="00F56F53" w:rsidR="00F43780">
        <w:rPr>
          <w:rFonts w:asciiTheme="minorHAnsi" w:eastAsiaTheme="minorHAnsi" w:hAnsiTheme="minorHAnsi" w:cstheme="minorHAnsi"/>
          <w:noProof/>
          <w:lang w:eastAsia="en-US"/>
        </w:rPr>
        <w:t xml:space="preserve">Zdraví </w:t>
      </w:r>
      <w:r w:rsidRPr="00F56F53" w:rsidR="00514ECA">
        <w:rPr>
          <w:rFonts w:asciiTheme="minorHAnsi" w:eastAsiaTheme="minorHAnsi" w:hAnsiTheme="minorHAnsi" w:cstheme="minorHAnsi"/>
          <w:noProof/>
          <w:lang w:eastAsia="en-US"/>
        </w:rPr>
        <w:t>203</w:t>
      </w:r>
      <w:r w:rsidR="00514ECA">
        <w:rPr>
          <w:rFonts w:asciiTheme="minorHAnsi" w:eastAsiaTheme="minorHAnsi" w:hAnsiTheme="minorHAnsi" w:cstheme="minorHAnsi"/>
          <w:noProof/>
          <w:lang w:eastAsia="en-US"/>
        </w:rPr>
        <w:t>5</w:t>
      </w:r>
      <w:r w:rsidRPr="00F56F53" w:rsidR="00F43780">
        <w:rPr>
          <w:rFonts w:asciiTheme="minorHAnsi" w:eastAsiaTheme="minorHAnsi" w:hAnsiTheme="minorHAnsi" w:cstheme="minorHAnsi"/>
          <w:noProof/>
          <w:lang w:eastAsia="en-US"/>
        </w:rPr>
        <w:t xml:space="preserve">, </w:t>
      </w:r>
      <w:r w:rsidRPr="00F56F53">
        <w:rPr>
          <w:rFonts w:asciiTheme="minorHAnsi" w:eastAsiaTheme="minorHAnsi" w:hAnsiTheme="minorHAnsi" w:cstheme="minorHAnsi"/>
          <w:noProof/>
          <w:lang w:eastAsia="en-US"/>
        </w:rPr>
        <w:t>Národní strategie elektronického zdravotnictví, resp. Akčního plánu k Národní strategii elektronizace zdravotnictví</w:t>
      </w:r>
      <w:r w:rsidRPr="00F56F53" w:rsidR="00F43780">
        <w:rPr>
          <w:rFonts w:asciiTheme="minorHAnsi" w:eastAsiaTheme="minorHAnsi" w:hAnsiTheme="minorHAnsi" w:cstheme="minorHAnsi"/>
          <w:noProof/>
          <w:lang w:eastAsia="en-US"/>
        </w:rPr>
        <w:t>).</w:t>
      </w:r>
      <w:r w:rsidRPr="00F56F53">
        <w:rPr>
          <w:rFonts w:asciiTheme="minorHAnsi" w:eastAsiaTheme="minorHAnsi" w:hAnsiTheme="minorHAnsi" w:cstheme="minorHAnsi"/>
          <w:noProof/>
          <w:lang w:eastAsia="en-US"/>
        </w:rPr>
        <w:t xml:space="preserve"> </w:t>
      </w:r>
    </w:p>
    <w:p w:rsidR="00B677A8" w:rsidP="00C709C0" w14:paraId="687DAE9D" w14:textId="77777777">
      <w:pPr>
        <w:jc w:val="both"/>
        <w:rPr>
          <w:rFonts w:asciiTheme="minorHAnsi" w:eastAsiaTheme="minorHAnsi" w:hAnsiTheme="minorHAnsi" w:cstheme="minorHAnsi"/>
          <w:noProof/>
          <w:lang w:eastAsia="en-US"/>
        </w:rPr>
        <w:sectPr w:rsidSect="00B677A8">
          <w:pgSz w:w="16838" w:h="11906" w:orient="landscape"/>
          <w:pgMar w:top="720" w:right="720" w:bottom="720" w:left="720" w:header="708" w:footer="708" w:gutter="0"/>
          <w:cols w:space="708"/>
          <w:titlePg/>
          <w:docGrid w:linePitch="360"/>
        </w:sectPr>
      </w:pPr>
    </w:p>
    <w:p w:rsidR="00C13797" w:rsidRPr="006A3097" w:rsidP="00C709C0" w14:paraId="7BDC9075" w14:textId="77777777">
      <w:pPr>
        <w:jc w:val="both"/>
        <w:rPr>
          <w:rFonts w:asciiTheme="minorHAnsi" w:eastAsiaTheme="minorHAnsi" w:hAnsiTheme="minorHAnsi" w:cstheme="minorHAnsi"/>
          <w:noProof/>
          <w:lang w:eastAsia="en-US"/>
        </w:rPr>
      </w:pPr>
    </w:p>
    <w:p w:rsidR="00BF0869" w:rsidP="00C709C0" w14:paraId="579EE3F2" w14:textId="40BC75EC">
      <w:pPr>
        <w:autoSpaceDE w:val="0"/>
        <w:autoSpaceDN w:val="0"/>
        <w:adjustRightInd w:val="0"/>
        <w:jc w:val="both"/>
        <w:rPr>
          <w:rFonts w:asciiTheme="minorHAnsi" w:hAnsiTheme="minorHAnsi" w:cstheme="minorHAnsi"/>
        </w:rPr>
      </w:pPr>
    </w:p>
    <w:p w:rsidR="00584807" w:rsidRPr="00C24606" w:rsidP="00C709C0" w14:paraId="754EDF71" w14:textId="77777777">
      <w:pPr>
        <w:pStyle w:val="Heading1"/>
        <w:numPr>
          <w:ilvl w:val="0"/>
          <w:numId w:val="13"/>
        </w:numPr>
        <w:jc w:val="both"/>
        <w:rPr>
          <w:rFonts w:cstheme="minorHAnsi"/>
        </w:rPr>
      </w:pPr>
      <w:bookmarkStart w:id="253" w:name="_Toc256000011"/>
      <w:r w:rsidRPr="00C24606">
        <w:rPr>
          <w:rFonts w:cstheme="minorHAnsi"/>
        </w:rPr>
        <w:t>Implementační struktura</w:t>
      </w:r>
      <w:bookmarkEnd w:id="253"/>
      <w:r w:rsidRPr="00C24606">
        <w:rPr>
          <w:rFonts w:cstheme="minorHAnsi"/>
        </w:rPr>
        <w:t xml:space="preserve"> </w:t>
      </w:r>
    </w:p>
    <w:p w:rsidR="00584807" w:rsidRPr="00C24606" w:rsidP="00C709C0" w14:paraId="6DDEDAF3" w14:textId="77777777">
      <w:pPr>
        <w:autoSpaceDE w:val="0"/>
        <w:autoSpaceDN w:val="0"/>
        <w:adjustRightInd w:val="0"/>
        <w:jc w:val="both"/>
        <w:rPr>
          <w:rFonts w:asciiTheme="minorHAnsi" w:hAnsiTheme="minorHAnsi" w:cstheme="minorHAnsi"/>
          <w:b/>
          <w:bCs/>
        </w:rPr>
      </w:pPr>
    </w:p>
    <w:p w:rsidR="00B677A8" w:rsidRPr="00AF515C" w:rsidP="00B677A8" w14:paraId="774300AE"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B677A8" w:rsidRPr="00AF515C" w:rsidP="00B677A8" w14:paraId="607DFFDB" w14:textId="77777777">
      <w:pPr>
        <w:jc w:val="both"/>
        <w:rPr>
          <w:rFonts w:asciiTheme="minorHAnsi" w:hAnsiTheme="minorHAnsi" w:cs="Arial"/>
        </w:rPr>
      </w:pPr>
    </w:p>
    <w:p w:rsidR="00B677A8" w:rsidRPr="002E2404" w:rsidP="00B677A8" w14:paraId="5CCD5D15"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54" w:name="_Hlk186660409"/>
      <w:r>
        <w:rPr>
          <w:rFonts w:asciiTheme="minorHAnsi" w:hAnsiTheme="minorHAnsi" w:cs="Arial"/>
        </w:rPr>
        <w:t>26/2023</w:t>
      </w:r>
      <w:r>
        <w:rPr>
          <w:rStyle w:val="FootnoteReference"/>
          <w:rFonts w:asciiTheme="minorHAnsi" w:hAnsiTheme="minorHAnsi" w:cs="Arial"/>
        </w:rPr>
        <w:footnoteReference w:id="4"/>
      </w:r>
      <w:r w:rsidRPr="00872ED3">
        <w:rPr>
          <w:rFonts w:asciiTheme="minorHAnsi" w:hAnsiTheme="minorHAnsi" w:cs="Arial"/>
        </w:rPr>
        <w:t xml:space="preserve"> </w:t>
      </w:r>
      <w:bookmarkEnd w:id="254"/>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B677A8" w:rsidRPr="002E2404" w:rsidP="00B677A8" w14:paraId="4D78D761"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B677A8" w:rsidRPr="002E2404" w:rsidP="00B677A8" w14:paraId="2FEB7B88"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B677A8" w:rsidRPr="002E2404" w:rsidP="00B677A8" w14:paraId="77EEDB55"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B677A8" w:rsidRPr="002E2404" w:rsidP="00B677A8" w14:paraId="21613E4C"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B677A8" w:rsidRPr="002E2404" w:rsidP="00B677A8" w14:paraId="2A9FAB2C"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B677A8" w:rsidRPr="002E2404" w:rsidP="00B677A8" w14:paraId="4A768E5A" w14:textId="77777777">
      <w:pPr>
        <w:jc w:val="both"/>
        <w:rPr>
          <w:rFonts w:asciiTheme="minorHAnsi" w:hAnsiTheme="minorHAnsi" w:cs="Arial"/>
          <w:color w:val="000000" w:themeColor="text1"/>
        </w:rPr>
      </w:pPr>
    </w:p>
    <w:p w:rsidR="00E24D22" w:rsidRPr="00C24606" w:rsidP="00C709C0" w14:paraId="01667B7D" w14:textId="77777777">
      <w:pPr>
        <w:jc w:val="both"/>
        <w:rPr>
          <w:rFonts w:asciiTheme="minorHAnsi" w:hAnsiTheme="minorHAnsi" w:cstheme="minorHAnsi"/>
        </w:rPr>
      </w:pPr>
    </w:p>
    <w:p w:rsidR="00E24D22" w:rsidRPr="003E7EB8" w:rsidP="00C709C0" w14:paraId="539C1F62" w14:textId="791FC8AE">
      <w:pPr>
        <w:jc w:val="both"/>
        <w:rPr>
          <w:rFonts w:asciiTheme="minorHAnsi" w:hAnsiTheme="minorHAnsi" w:cs="Arial"/>
          <w:color w:val="000000" w:themeColor="text1"/>
        </w:rPr>
      </w:pPr>
      <w:r w:rsidRPr="00C24606">
        <w:rPr>
          <w:rFonts w:asciiTheme="minorHAnsi" w:hAnsiTheme="minorHAnsi" w:cstheme="minorHAnsi"/>
        </w:rPr>
        <w:t xml:space="preserve">Za realizaci </w:t>
      </w:r>
      <w:r w:rsidRPr="00C24606" w:rsidR="002426F9">
        <w:rPr>
          <w:rFonts w:asciiTheme="minorHAnsi" w:hAnsiTheme="minorHAnsi" w:cstheme="minorHAnsi"/>
        </w:rPr>
        <w:t xml:space="preserve">implementačního plánu </w:t>
      </w:r>
      <w:r w:rsidRPr="00C24606">
        <w:rPr>
          <w:rFonts w:asciiTheme="minorHAnsi" w:hAnsiTheme="minorHAnsi" w:cstheme="minorHAnsi"/>
        </w:rPr>
        <w:t xml:space="preserve">je zodpovědný </w:t>
      </w:r>
      <w:r w:rsidRPr="00C24606" w:rsidR="00DD2A28">
        <w:rPr>
          <w:rFonts w:asciiTheme="minorHAnsi" w:hAnsiTheme="minorHAnsi" w:cstheme="minorHAnsi"/>
        </w:rPr>
        <w:t xml:space="preserve">gestor </w:t>
      </w:r>
      <w:r w:rsidRPr="00C24606" w:rsidR="002426F9">
        <w:rPr>
          <w:rFonts w:asciiTheme="minorHAnsi" w:hAnsiTheme="minorHAnsi" w:cstheme="minorHAnsi"/>
        </w:rPr>
        <w:t>implementačního plánu</w:t>
      </w:r>
      <w:r w:rsidRPr="00C24606" w:rsidR="009C3B3A">
        <w:rPr>
          <w:rFonts w:asciiTheme="minorHAnsi" w:hAnsiTheme="minorHAnsi" w:cstheme="minorHAnsi"/>
        </w:rPr>
        <w:t xml:space="preserve">, kterým </w:t>
      </w:r>
      <w:r w:rsidRPr="00120681" w:rsidR="009C3B3A">
        <w:rPr>
          <w:rFonts w:asciiTheme="minorHAnsi" w:hAnsiTheme="minorHAnsi" w:cstheme="minorHAnsi"/>
        </w:rPr>
        <w:t xml:space="preserve">je </w:t>
      </w:r>
      <w:r w:rsidR="00C11D1F">
        <w:rPr>
          <w:rFonts w:asciiTheme="minorHAnsi" w:hAnsiTheme="minorHAnsi" w:cstheme="minorHAnsi"/>
        </w:rPr>
        <w:t xml:space="preserve">vrchní ředitel </w:t>
      </w:r>
      <w:r w:rsidRPr="00120681" w:rsidR="0087225D">
        <w:rPr>
          <w:rFonts w:asciiTheme="minorHAnsi" w:hAnsiTheme="minorHAnsi" w:cstheme="minorHAnsi"/>
        </w:rPr>
        <w:t xml:space="preserve">pro </w:t>
      </w:r>
      <w:r w:rsidR="00C11D1F">
        <w:rPr>
          <w:rFonts w:asciiTheme="minorHAnsi" w:hAnsiTheme="minorHAnsi" w:cstheme="minorHAnsi"/>
        </w:rPr>
        <w:t xml:space="preserve">informační </w:t>
      </w:r>
      <w:r w:rsidR="009C4CC6">
        <w:rPr>
          <w:rFonts w:asciiTheme="minorHAnsi" w:hAnsiTheme="minorHAnsi" w:cstheme="minorHAnsi"/>
        </w:rPr>
        <w:t xml:space="preserve">a komunikační </w:t>
      </w:r>
      <w:r w:rsidR="00C11D1F">
        <w:rPr>
          <w:rFonts w:asciiTheme="minorHAnsi" w:hAnsiTheme="minorHAnsi" w:cstheme="minorHAnsi"/>
        </w:rPr>
        <w:t>technologie</w:t>
      </w:r>
      <w:r w:rsidRPr="00120681" w:rsidR="0087225D">
        <w:rPr>
          <w:rFonts w:asciiTheme="minorHAnsi" w:hAnsiTheme="minorHAnsi" w:cstheme="minorHAnsi"/>
        </w:rPr>
        <w:t xml:space="preserve">. </w:t>
      </w:r>
      <w:r w:rsidRPr="00120681" w:rsidR="00DD2A28">
        <w:rPr>
          <w:rFonts w:asciiTheme="minorHAnsi" w:hAnsiTheme="minorHAnsi" w:cstheme="minorHAnsi"/>
        </w:rPr>
        <w:t>Gestor</w:t>
      </w:r>
      <w:r w:rsidRPr="00120681" w:rsidR="002426F9">
        <w:rPr>
          <w:rFonts w:asciiTheme="minorHAnsi" w:hAnsiTheme="minorHAnsi" w:cstheme="minorHAnsi"/>
        </w:rPr>
        <w:t xml:space="preserve"> implementačního plánu</w:t>
      </w:r>
      <w:r w:rsidRPr="00120681" w:rsidR="009C3B3A">
        <w:rPr>
          <w:rFonts w:asciiTheme="minorHAnsi" w:hAnsiTheme="minorHAnsi" w:cstheme="minorHAnsi"/>
        </w:rPr>
        <w:t xml:space="preserve"> vrcholově řídí a odpovídá za realizaci implemen</w:t>
      </w:r>
      <w:r w:rsidRPr="00C24606" w:rsidR="009C3B3A">
        <w:rPr>
          <w:rFonts w:asciiTheme="minorHAnsi" w:hAnsiTheme="minorHAnsi" w:cstheme="minorHAnsi"/>
        </w:rPr>
        <w:t xml:space="preserve">tačního plánu daného specifického cíle. </w:t>
      </w:r>
      <w:r w:rsidR="003E7EB8">
        <w:rPr>
          <w:rFonts w:asciiTheme="minorHAnsi" w:hAnsiTheme="minorHAnsi" w:cs="Arial"/>
          <w:color w:val="000000" w:themeColor="text1"/>
        </w:rPr>
        <w:t>Komplexní z</w:t>
      </w:r>
      <w:r w:rsidRPr="002E2404" w:rsidR="003E7EB8">
        <w:rPr>
          <w:rFonts w:asciiTheme="minorHAnsi" w:hAnsiTheme="minorHAnsi" w:cs="Arial"/>
          <w:color w:val="000000" w:themeColor="text1"/>
        </w:rPr>
        <w:t xml:space="preserve">právu o průběhu realizace implementačního plánu (nebo také „hodnoticí zpráva“), </w:t>
      </w:r>
      <w:r w:rsidR="003E7EB8">
        <w:rPr>
          <w:rFonts w:asciiTheme="minorHAnsi" w:hAnsiTheme="minorHAnsi" w:cs="Arial"/>
          <w:color w:val="000000" w:themeColor="text1"/>
        </w:rPr>
        <w:t xml:space="preserve">gestor vytváří </w:t>
      </w:r>
      <w:r w:rsidRPr="002E2404" w:rsidR="003E7EB8">
        <w:rPr>
          <w:rFonts w:asciiTheme="minorHAnsi" w:hAnsiTheme="minorHAnsi" w:cs="Arial"/>
          <w:color w:val="000000" w:themeColor="text1"/>
        </w:rPr>
        <w:t xml:space="preserve">na základě dílčích zpráv o plnění jednotlivých dílčích cílů, sekce ochrany a podpory veřejného zdraví </w:t>
      </w:r>
      <w:r w:rsidR="003E7EB8">
        <w:rPr>
          <w:rFonts w:asciiTheme="minorHAnsi" w:hAnsiTheme="minorHAnsi" w:cs="Arial"/>
          <w:color w:val="000000" w:themeColor="text1"/>
        </w:rPr>
        <w:t xml:space="preserve">a </w:t>
      </w:r>
      <w:r w:rsidRPr="002E2404" w:rsidR="003E7EB8">
        <w:rPr>
          <w:rFonts w:asciiTheme="minorHAnsi" w:hAnsiTheme="minorHAnsi" w:cs="Arial"/>
          <w:color w:val="000000" w:themeColor="text1"/>
        </w:rPr>
        <w:t xml:space="preserve">pravidelně </w:t>
      </w:r>
      <w:r w:rsidR="003E7EB8">
        <w:rPr>
          <w:rFonts w:asciiTheme="minorHAnsi" w:hAnsiTheme="minorHAnsi" w:cs="Arial"/>
          <w:color w:val="000000" w:themeColor="text1"/>
        </w:rPr>
        <w:t xml:space="preserve">ji </w:t>
      </w:r>
      <w:r w:rsidRPr="002E2404" w:rsidR="003E7EB8">
        <w:rPr>
          <w:rFonts w:asciiTheme="minorHAnsi" w:hAnsiTheme="minorHAnsi" w:cs="Arial"/>
          <w:color w:val="000000" w:themeColor="text1"/>
        </w:rPr>
        <w:t>předkládá Řídicímu výboru Zdraví 203</w:t>
      </w:r>
      <w:r w:rsidR="003E7EB8">
        <w:rPr>
          <w:rFonts w:asciiTheme="minorHAnsi" w:hAnsiTheme="minorHAnsi" w:cs="Arial"/>
          <w:color w:val="000000" w:themeColor="text1"/>
        </w:rPr>
        <w:t>5</w:t>
      </w:r>
      <w:r w:rsidRPr="002E2404" w:rsidR="003E7EB8">
        <w:rPr>
          <w:rFonts w:asciiTheme="minorHAnsi" w:hAnsiTheme="minorHAnsi" w:cs="Arial"/>
          <w:color w:val="000000" w:themeColor="text1"/>
        </w:rPr>
        <w:t xml:space="preserve"> a následně poradě vedení </w:t>
      </w:r>
      <w:r w:rsidR="003E7EB8">
        <w:rPr>
          <w:rFonts w:asciiTheme="minorHAnsi" w:hAnsiTheme="minorHAnsi" w:cs="Arial"/>
          <w:color w:val="000000" w:themeColor="text1"/>
        </w:rPr>
        <w:t>MZD dle harmonogramu uvedeného ve Strategickém rámci Zdraví 2035</w:t>
      </w:r>
      <w:r w:rsidRPr="002E2404" w:rsidR="003E7EB8">
        <w:rPr>
          <w:rFonts w:asciiTheme="minorHAnsi" w:hAnsiTheme="minorHAnsi" w:cs="Arial"/>
          <w:color w:val="000000" w:themeColor="text1"/>
        </w:rPr>
        <w:t>.</w:t>
      </w:r>
    </w:p>
    <w:p w:rsidR="00B677A8" w:rsidRPr="00C24606" w:rsidP="00C709C0" w14:paraId="05876A65" w14:textId="77777777">
      <w:pPr>
        <w:jc w:val="both"/>
        <w:rPr>
          <w:rFonts w:asciiTheme="minorHAnsi" w:hAnsiTheme="minorHAnsi" w:cstheme="minorHAnsi"/>
        </w:rPr>
      </w:pPr>
    </w:p>
    <w:p w:rsidR="004A4B96" w:rsidP="00C709C0" w14:paraId="7EB97D4E" w14:textId="69D3F42A">
      <w:pPr>
        <w:autoSpaceDE w:val="0"/>
        <w:autoSpaceDN w:val="0"/>
        <w:adjustRightInd w:val="0"/>
        <w:jc w:val="both"/>
        <w:rPr>
          <w:rFonts w:asciiTheme="minorHAnsi" w:hAnsiTheme="minorHAnsi" w:cstheme="minorHAnsi"/>
        </w:rPr>
      </w:pPr>
      <w:r w:rsidRPr="00C24606">
        <w:rPr>
          <w:rFonts w:asciiTheme="minorHAnsi" w:hAnsiTheme="minorHAnsi" w:cstheme="minorHAnsi"/>
        </w:rPr>
        <w:t>Členem Říd</w:t>
      </w:r>
      <w:r w:rsidR="005B509F">
        <w:rPr>
          <w:rFonts w:asciiTheme="minorHAnsi" w:hAnsiTheme="minorHAnsi" w:cstheme="minorHAnsi"/>
        </w:rPr>
        <w:t>i</w:t>
      </w:r>
      <w:r w:rsidRPr="00C24606">
        <w:rPr>
          <w:rFonts w:asciiTheme="minorHAnsi" w:hAnsiTheme="minorHAnsi" w:cstheme="minorHAnsi"/>
        </w:rPr>
        <w:t xml:space="preserve">cího výboru Zdraví </w:t>
      </w:r>
      <w:r w:rsidRPr="00C24606" w:rsidR="00C11D1F">
        <w:rPr>
          <w:rFonts w:asciiTheme="minorHAnsi" w:hAnsiTheme="minorHAnsi" w:cstheme="minorHAnsi"/>
        </w:rPr>
        <w:t>203</w:t>
      </w:r>
      <w:r w:rsidR="00C11D1F">
        <w:rPr>
          <w:rFonts w:asciiTheme="minorHAnsi" w:hAnsiTheme="minorHAnsi" w:cstheme="minorHAnsi"/>
        </w:rPr>
        <w:t>5</w:t>
      </w:r>
      <w:r w:rsidRPr="00C24606">
        <w:rPr>
          <w:rFonts w:asciiTheme="minorHAnsi" w:hAnsiTheme="minorHAnsi" w:cstheme="minorHAnsi"/>
        </w:rPr>
        <w:t xml:space="preserve">, který má dohled nad implementací Strategického rámce Zdraví </w:t>
      </w:r>
      <w:r w:rsidRPr="00C24606" w:rsidR="00C11D1F">
        <w:rPr>
          <w:rFonts w:asciiTheme="minorHAnsi" w:hAnsiTheme="minorHAnsi" w:cstheme="minorHAnsi"/>
        </w:rPr>
        <w:t>203</w:t>
      </w:r>
      <w:r w:rsidR="00C11D1F">
        <w:rPr>
          <w:rFonts w:asciiTheme="minorHAnsi" w:hAnsiTheme="minorHAnsi" w:cstheme="minorHAnsi"/>
        </w:rPr>
        <w:t>5</w:t>
      </w:r>
      <w:r w:rsidRPr="00C24606" w:rsidR="00C11D1F">
        <w:rPr>
          <w:rFonts w:asciiTheme="minorHAnsi" w:hAnsiTheme="minorHAnsi" w:cstheme="minorHAnsi"/>
        </w:rPr>
        <w:t xml:space="preserve"> </w:t>
      </w:r>
      <w:r w:rsidRPr="00C24606">
        <w:rPr>
          <w:rFonts w:asciiTheme="minorHAnsi" w:hAnsiTheme="minorHAnsi" w:cstheme="minorHAnsi"/>
        </w:rPr>
        <w:t>a</w:t>
      </w:r>
      <w:r w:rsidR="003E7EB8">
        <w:rPr>
          <w:rFonts w:asciiTheme="minorHAnsi" w:hAnsiTheme="minorHAnsi" w:cstheme="minorHAnsi"/>
        </w:rPr>
        <w:t> </w:t>
      </w:r>
      <w:r w:rsidRPr="00C24606">
        <w:rPr>
          <w:rFonts w:asciiTheme="minorHAnsi" w:hAnsiTheme="minorHAnsi" w:cstheme="minorHAnsi"/>
        </w:rPr>
        <w:t>jeho prováděcích dokumentů, je</w:t>
      </w:r>
      <w:r w:rsidR="00120681">
        <w:rPr>
          <w:rFonts w:asciiTheme="minorHAnsi" w:hAnsiTheme="minorHAnsi" w:cstheme="minorHAnsi"/>
        </w:rPr>
        <w:t xml:space="preserve"> i</w:t>
      </w:r>
      <w:r w:rsidRPr="00C24606">
        <w:rPr>
          <w:rFonts w:asciiTheme="minorHAnsi" w:hAnsiTheme="minorHAnsi" w:cstheme="minorHAnsi"/>
        </w:rPr>
        <w:t xml:space="preserve"> ředitel </w:t>
      </w:r>
      <w:r w:rsidR="0039258D">
        <w:rPr>
          <w:rFonts w:asciiTheme="minorHAnsi" w:hAnsiTheme="minorHAnsi" w:cstheme="minorHAnsi"/>
        </w:rPr>
        <w:t xml:space="preserve">příslušného </w:t>
      </w:r>
      <w:r w:rsidRPr="00C24606">
        <w:rPr>
          <w:rFonts w:asciiTheme="minorHAnsi" w:hAnsiTheme="minorHAnsi" w:cstheme="minorHAnsi"/>
        </w:rPr>
        <w:t xml:space="preserve">odboru </w:t>
      </w:r>
      <w:r w:rsidR="00482B70">
        <w:rPr>
          <w:rFonts w:asciiTheme="minorHAnsi" w:hAnsiTheme="minorHAnsi" w:cstheme="minorHAnsi"/>
        </w:rPr>
        <w:t xml:space="preserve">Sekce informačních a komunikačních </w:t>
      </w:r>
      <w:r w:rsidR="00783649">
        <w:rPr>
          <w:rFonts w:asciiTheme="minorHAnsi" w:hAnsiTheme="minorHAnsi" w:cstheme="minorHAnsi"/>
        </w:rPr>
        <w:t>technologií</w:t>
      </w:r>
      <w:r w:rsidR="00FE7A1A">
        <w:rPr>
          <w:rFonts w:asciiTheme="minorHAnsi" w:hAnsiTheme="minorHAnsi" w:cstheme="minorHAnsi"/>
        </w:rPr>
        <w:t xml:space="preserve"> </w:t>
      </w:r>
      <w:r w:rsidR="008C6210">
        <w:rPr>
          <w:rFonts w:asciiTheme="minorHAnsi" w:hAnsiTheme="minorHAnsi" w:cstheme="minorHAnsi"/>
        </w:rPr>
        <w:t>MZD</w:t>
      </w:r>
      <w:r w:rsidRPr="00C24606">
        <w:rPr>
          <w:rFonts w:asciiTheme="minorHAnsi" w:hAnsiTheme="minorHAnsi" w:cstheme="minorHAnsi"/>
        </w:rPr>
        <w:t xml:space="preserve">. </w:t>
      </w:r>
      <w:r w:rsidRPr="00C24606">
        <w:rPr>
          <w:rFonts w:asciiTheme="minorHAnsi" w:hAnsiTheme="minorHAnsi" w:cstheme="minorHAnsi"/>
        </w:rPr>
        <w:t xml:space="preserve">Úkolem </w:t>
      </w:r>
      <w:r w:rsidR="00783649">
        <w:rPr>
          <w:rFonts w:asciiTheme="minorHAnsi" w:hAnsiTheme="minorHAnsi" w:cstheme="minorHAnsi"/>
        </w:rPr>
        <w:t xml:space="preserve">tohoto </w:t>
      </w:r>
      <w:r w:rsidRPr="00C24606" w:rsidR="00937D01">
        <w:rPr>
          <w:rFonts w:asciiTheme="minorHAnsi" w:hAnsiTheme="minorHAnsi" w:cstheme="minorHAnsi"/>
        </w:rPr>
        <w:t>odboru</w:t>
      </w:r>
      <w:r w:rsidRPr="00C24606" w:rsidR="0060286C">
        <w:rPr>
          <w:rFonts w:asciiTheme="minorHAnsi" w:hAnsiTheme="minorHAnsi" w:cstheme="minorHAnsi"/>
        </w:rPr>
        <w:t xml:space="preserve"> je </w:t>
      </w:r>
      <w:r w:rsidRPr="00C24606" w:rsidR="002D44FC">
        <w:rPr>
          <w:rFonts w:asciiTheme="minorHAnsi" w:hAnsiTheme="minorHAnsi" w:cstheme="minorHAnsi"/>
        </w:rPr>
        <w:t>programově a hospodárně koordinovat a podporovat rozvoj elektronického zdravotnictví, udržovat a rozvíjet koncepci elektronizace zdravotnictví</w:t>
      </w:r>
      <w:r w:rsidR="00A95A0F">
        <w:rPr>
          <w:rFonts w:asciiTheme="minorHAnsi" w:hAnsiTheme="minorHAnsi" w:cstheme="minorHAnsi"/>
        </w:rPr>
        <w:t xml:space="preserve"> a zabezpečovat</w:t>
      </w:r>
      <w:r w:rsidRPr="00A95A0F" w:rsidR="00A95A0F">
        <w:rPr>
          <w:rFonts w:asciiTheme="minorHAnsi" w:hAnsiTheme="minorHAnsi" w:cstheme="minorHAnsi"/>
        </w:rPr>
        <w:t xml:space="preserve"> působnost ministerstva v oblasti strategického a koncepčního rozvoje digitalizace</w:t>
      </w:r>
      <w:r w:rsidR="00A95A0F">
        <w:rPr>
          <w:rFonts w:asciiTheme="minorHAnsi" w:hAnsiTheme="minorHAnsi" w:cstheme="minorHAnsi"/>
        </w:rPr>
        <w:t xml:space="preserve"> </w:t>
      </w:r>
      <w:r w:rsidRPr="00A95A0F" w:rsidR="00A95A0F">
        <w:rPr>
          <w:rFonts w:asciiTheme="minorHAnsi" w:hAnsiTheme="minorHAnsi" w:cstheme="minorHAnsi"/>
        </w:rPr>
        <w:t>zdravotnictví.</w:t>
      </w:r>
      <w:r w:rsidRPr="00C24606" w:rsidR="0060286C">
        <w:rPr>
          <w:rFonts w:asciiTheme="minorHAnsi" w:hAnsiTheme="minorHAnsi" w:cstheme="minorHAnsi"/>
        </w:rPr>
        <w:t xml:space="preserve"> </w:t>
      </w:r>
      <w:r w:rsidR="00241AE9">
        <w:rPr>
          <w:rFonts w:asciiTheme="minorHAnsi" w:hAnsiTheme="minorHAnsi" w:cstheme="minorHAnsi"/>
        </w:rPr>
        <w:t>V</w:t>
      </w:r>
      <w:r w:rsidRPr="00241AE9" w:rsidR="00241AE9">
        <w:rPr>
          <w:rFonts w:asciiTheme="minorHAnsi" w:hAnsiTheme="minorHAnsi" w:cstheme="minorHAnsi"/>
        </w:rPr>
        <w:t xml:space="preserve">rchní ředitel pro informační a komunikační technologie </w:t>
      </w:r>
      <w:r w:rsidR="00241AE9">
        <w:rPr>
          <w:rFonts w:asciiTheme="minorHAnsi" w:hAnsiTheme="minorHAnsi" w:cstheme="minorHAnsi"/>
        </w:rPr>
        <w:t>s</w:t>
      </w:r>
      <w:r w:rsidRPr="00C24606" w:rsidR="005B2FF6">
        <w:rPr>
          <w:rFonts w:asciiTheme="minorHAnsi" w:hAnsiTheme="minorHAnsi" w:cstheme="minorHAnsi"/>
        </w:rPr>
        <w:t xml:space="preserve">oučasně plní roli digitálního zmocněnce </w:t>
      </w:r>
      <w:r w:rsidR="003E7EB8">
        <w:rPr>
          <w:rFonts w:asciiTheme="minorHAnsi" w:hAnsiTheme="minorHAnsi" w:cstheme="minorHAnsi"/>
        </w:rPr>
        <w:t>MZD</w:t>
      </w:r>
      <w:r w:rsidRPr="00C24606" w:rsidR="005B2FF6">
        <w:rPr>
          <w:rFonts w:asciiTheme="minorHAnsi" w:hAnsiTheme="minorHAnsi" w:cstheme="minorHAnsi"/>
        </w:rPr>
        <w:t>.</w:t>
      </w:r>
    </w:p>
    <w:p w:rsidR="003E7EB8" w:rsidRPr="00C24606" w:rsidP="00C709C0" w14:paraId="47AC7F79" w14:textId="77777777">
      <w:pPr>
        <w:autoSpaceDE w:val="0"/>
        <w:autoSpaceDN w:val="0"/>
        <w:adjustRightInd w:val="0"/>
        <w:jc w:val="both"/>
        <w:rPr>
          <w:rFonts w:asciiTheme="minorHAnsi" w:hAnsiTheme="minorHAnsi" w:cstheme="minorHAnsi"/>
        </w:rPr>
      </w:pPr>
    </w:p>
    <w:p w:rsidR="009C3B3A" w:rsidP="00C709C0" w14:paraId="51CF2D53" w14:textId="5AAED74A">
      <w:pPr>
        <w:autoSpaceDE w:val="0"/>
        <w:autoSpaceDN w:val="0"/>
        <w:adjustRightInd w:val="0"/>
        <w:jc w:val="both"/>
        <w:rPr>
          <w:rFonts w:asciiTheme="minorHAnsi" w:hAnsiTheme="minorHAnsi" w:cstheme="minorHAnsi"/>
        </w:rPr>
      </w:pPr>
      <w:r w:rsidRPr="00C24606">
        <w:rPr>
          <w:rFonts w:asciiTheme="minorHAnsi" w:hAnsiTheme="minorHAnsi" w:cstheme="minorHAnsi"/>
        </w:rPr>
        <w:t>Architektonický dohled nad rozvojem elektronizace</w:t>
      </w:r>
      <w:r w:rsidRPr="00C24606" w:rsidR="0060286C">
        <w:rPr>
          <w:rFonts w:asciiTheme="minorHAnsi" w:hAnsiTheme="minorHAnsi" w:cstheme="minorHAnsi"/>
        </w:rPr>
        <w:t xml:space="preserve"> vykonává</w:t>
      </w:r>
      <w:r w:rsidRPr="00C24606">
        <w:rPr>
          <w:rFonts w:asciiTheme="minorHAnsi" w:hAnsiTheme="minorHAnsi" w:cstheme="minorHAnsi"/>
        </w:rPr>
        <w:t xml:space="preserve"> </w:t>
      </w:r>
      <w:r w:rsidR="00A36723">
        <w:rPr>
          <w:rFonts w:asciiTheme="minorHAnsi" w:hAnsiTheme="minorHAnsi" w:cstheme="minorHAnsi"/>
        </w:rPr>
        <w:t xml:space="preserve">oddělení </w:t>
      </w:r>
      <w:r w:rsidR="00270E8D">
        <w:rPr>
          <w:rFonts w:asciiTheme="minorHAnsi" w:hAnsiTheme="minorHAnsi" w:cstheme="minorHAnsi"/>
        </w:rPr>
        <w:t xml:space="preserve">architektonické kanceláře </w:t>
      </w:r>
      <w:r w:rsidR="00A36723">
        <w:rPr>
          <w:rFonts w:asciiTheme="minorHAnsi" w:hAnsiTheme="minorHAnsi" w:cstheme="minorHAnsi"/>
        </w:rPr>
        <w:t>odboru</w:t>
      </w:r>
      <w:r w:rsidRPr="00C24606">
        <w:rPr>
          <w:rFonts w:asciiTheme="minorHAnsi" w:hAnsiTheme="minorHAnsi" w:cstheme="minorHAnsi"/>
        </w:rPr>
        <w:t xml:space="preserve"> </w:t>
      </w:r>
      <w:r w:rsidR="00CA4287">
        <w:rPr>
          <w:rFonts w:asciiTheme="minorHAnsi" w:hAnsiTheme="minorHAnsi" w:cstheme="minorHAnsi"/>
        </w:rPr>
        <w:t>N</w:t>
      </w:r>
      <w:r w:rsidRPr="00A95A0F" w:rsidR="00A95A0F">
        <w:rPr>
          <w:rFonts w:asciiTheme="minorHAnsi" w:hAnsiTheme="minorHAnsi" w:cstheme="minorHAnsi"/>
        </w:rPr>
        <w:t>árodního centra elektronického zdravotnictví</w:t>
      </w:r>
      <w:r w:rsidR="00A95A0F">
        <w:rPr>
          <w:rFonts w:asciiTheme="minorHAnsi" w:hAnsiTheme="minorHAnsi" w:cstheme="minorHAnsi"/>
        </w:rPr>
        <w:t>, kter</w:t>
      </w:r>
      <w:r w:rsidR="00A36723">
        <w:rPr>
          <w:rFonts w:asciiTheme="minorHAnsi" w:hAnsiTheme="minorHAnsi" w:cstheme="minorHAnsi"/>
        </w:rPr>
        <w:t>é</w:t>
      </w:r>
      <w:r w:rsidRPr="00A95A0F" w:rsidR="00A95A0F">
        <w:rPr>
          <w:rFonts w:asciiTheme="minorHAnsi" w:hAnsiTheme="minorHAnsi" w:cstheme="minorHAnsi"/>
        </w:rPr>
        <w:t xml:space="preserve"> zabezpečuje agendy útvaru hlavního</w:t>
      </w:r>
      <w:r w:rsidR="00A95A0F">
        <w:rPr>
          <w:rFonts w:asciiTheme="minorHAnsi" w:hAnsiTheme="minorHAnsi" w:cstheme="minorHAnsi"/>
        </w:rPr>
        <w:t xml:space="preserve"> </w:t>
      </w:r>
      <w:r w:rsidRPr="00A95A0F" w:rsidR="00A95A0F">
        <w:rPr>
          <w:rFonts w:asciiTheme="minorHAnsi" w:hAnsiTheme="minorHAnsi" w:cstheme="minorHAnsi"/>
        </w:rPr>
        <w:t xml:space="preserve">architekta elektronického zdravotnictví. </w:t>
      </w:r>
      <w:r w:rsidR="003D01F1">
        <w:rPr>
          <w:rFonts w:asciiTheme="minorHAnsi" w:hAnsiTheme="minorHAnsi" w:cstheme="minorHAnsi"/>
        </w:rPr>
        <w:t>Toto oddělení</w:t>
      </w:r>
      <w:r w:rsidRPr="00C24606" w:rsidR="0060286C">
        <w:rPr>
          <w:rFonts w:asciiTheme="minorHAnsi" w:hAnsiTheme="minorHAnsi" w:cstheme="minorHAnsi"/>
        </w:rPr>
        <w:t xml:space="preserve"> úzce</w:t>
      </w:r>
      <w:r w:rsidRPr="00C24606">
        <w:rPr>
          <w:rFonts w:asciiTheme="minorHAnsi" w:hAnsiTheme="minorHAnsi" w:cstheme="minorHAnsi"/>
        </w:rPr>
        <w:t xml:space="preserve"> spoluprac</w:t>
      </w:r>
      <w:r w:rsidRPr="00C24606" w:rsidR="0060286C">
        <w:rPr>
          <w:rFonts w:asciiTheme="minorHAnsi" w:hAnsiTheme="minorHAnsi" w:cstheme="minorHAnsi"/>
        </w:rPr>
        <w:t>uje</w:t>
      </w:r>
      <w:r w:rsidRPr="00C24606">
        <w:rPr>
          <w:rFonts w:asciiTheme="minorHAnsi" w:hAnsiTheme="minorHAnsi" w:cstheme="minorHAnsi"/>
        </w:rPr>
        <w:t xml:space="preserve"> s </w:t>
      </w:r>
      <w:r w:rsidRPr="00C24606" w:rsidR="00446829">
        <w:rPr>
          <w:rFonts w:asciiTheme="minorHAnsi" w:hAnsiTheme="minorHAnsi" w:cstheme="minorHAnsi"/>
        </w:rPr>
        <w:t>o</w:t>
      </w:r>
      <w:r w:rsidRPr="00C24606">
        <w:rPr>
          <w:rFonts w:asciiTheme="minorHAnsi" w:hAnsiTheme="minorHAnsi" w:cstheme="minorHAnsi"/>
        </w:rPr>
        <w:t>dbor</w:t>
      </w:r>
      <w:r w:rsidRPr="00C24606" w:rsidR="00446829">
        <w:rPr>
          <w:rFonts w:asciiTheme="minorHAnsi" w:hAnsiTheme="minorHAnsi" w:cstheme="minorHAnsi"/>
        </w:rPr>
        <w:t>em</w:t>
      </w:r>
      <w:r w:rsidRPr="00C24606">
        <w:rPr>
          <w:rFonts w:asciiTheme="minorHAnsi" w:hAnsiTheme="minorHAnsi" w:cstheme="minorHAnsi"/>
        </w:rPr>
        <w:t xml:space="preserve"> hlavního architekta </w:t>
      </w:r>
      <w:r w:rsidR="003D01F1">
        <w:rPr>
          <w:rFonts w:asciiTheme="minorHAnsi" w:hAnsiTheme="minorHAnsi" w:cstheme="minorHAnsi"/>
        </w:rPr>
        <w:t>eGovernm</w:t>
      </w:r>
      <w:r w:rsidR="004C66B9">
        <w:rPr>
          <w:rFonts w:asciiTheme="minorHAnsi" w:hAnsiTheme="minorHAnsi" w:cstheme="minorHAnsi"/>
        </w:rPr>
        <w:t>en</w:t>
      </w:r>
      <w:r w:rsidR="003D01F1">
        <w:rPr>
          <w:rFonts w:asciiTheme="minorHAnsi" w:hAnsiTheme="minorHAnsi" w:cstheme="minorHAnsi"/>
        </w:rPr>
        <w:t>tu</w:t>
      </w:r>
      <w:r w:rsidRPr="00C24606">
        <w:rPr>
          <w:rFonts w:asciiTheme="minorHAnsi" w:hAnsiTheme="minorHAnsi" w:cstheme="minorHAnsi"/>
        </w:rPr>
        <w:t>.</w:t>
      </w:r>
    </w:p>
    <w:p w:rsidR="003E7EB8" w:rsidRPr="00C24606" w:rsidP="00C709C0" w14:paraId="6CABF538" w14:textId="77777777">
      <w:pPr>
        <w:autoSpaceDE w:val="0"/>
        <w:autoSpaceDN w:val="0"/>
        <w:adjustRightInd w:val="0"/>
        <w:jc w:val="both"/>
        <w:rPr>
          <w:rFonts w:asciiTheme="minorHAnsi" w:hAnsiTheme="minorHAnsi" w:cstheme="minorHAnsi"/>
        </w:rPr>
      </w:pPr>
    </w:p>
    <w:p w:rsidR="001C7940" w:rsidRPr="00C24606" w:rsidP="00C709C0" w14:paraId="772FDB09" w14:textId="3D829475">
      <w:p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Ustanovení </w:t>
      </w:r>
      <w:r w:rsidRPr="00C24606" w:rsidR="00C35149">
        <w:rPr>
          <w:rFonts w:asciiTheme="minorHAnsi" w:hAnsiTheme="minorHAnsi" w:cstheme="minorHAnsi"/>
        </w:rPr>
        <w:t>říd</w:t>
      </w:r>
      <w:r w:rsidR="00C35149">
        <w:rPr>
          <w:rFonts w:asciiTheme="minorHAnsi" w:hAnsiTheme="minorHAnsi" w:cstheme="minorHAnsi"/>
        </w:rPr>
        <w:t>i</w:t>
      </w:r>
      <w:r w:rsidRPr="00C24606" w:rsidR="00C35149">
        <w:rPr>
          <w:rFonts w:asciiTheme="minorHAnsi" w:hAnsiTheme="minorHAnsi" w:cstheme="minorHAnsi"/>
        </w:rPr>
        <w:t xml:space="preserve">cí </w:t>
      </w:r>
      <w:r w:rsidRPr="00C24606">
        <w:rPr>
          <w:rFonts w:asciiTheme="minorHAnsi" w:hAnsiTheme="minorHAnsi" w:cstheme="minorHAnsi"/>
        </w:rPr>
        <w:t>struktury je klíčovým předpokladem pro funkčnost sledování systému elektronického zdravotnictví.</w:t>
      </w:r>
    </w:p>
    <w:p w:rsidR="001C7940" w:rsidRPr="00C24606" w:rsidP="00C709C0" w14:paraId="01F2F18B" w14:textId="3CBE7743">
      <w:pPr>
        <w:autoSpaceDE w:val="0"/>
        <w:autoSpaceDN w:val="0"/>
        <w:adjustRightInd w:val="0"/>
        <w:jc w:val="both"/>
        <w:rPr>
          <w:rFonts w:asciiTheme="minorHAnsi" w:hAnsiTheme="minorHAnsi" w:cstheme="minorHAnsi"/>
        </w:rPr>
      </w:pPr>
      <w:r w:rsidRPr="00C24606">
        <w:rPr>
          <w:rFonts w:asciiTheme="minorHAnsi" w:hAnsiTheme="minorHAnsi" w:cstheme="minorHAnsi"/>
        </w:rPr>
        <w:t>Říd</w:t>
      </w:r>
      <w:r>
        <w:rPr>
          <w:rFonts w:asciiTheme="minorHAnsi" w:hAnsiTheme="minorHAnsi" w:cstheme="minorHAnsi"/>
        </w:rPr>
        <w:t>i</w:t>
      </w:r>
      <w:r w:rsidRPr="00C24606">
        <w:rPr>
          <w:rFonts w:asciiTheme="minorHAnsi" w:hAnsiTheme="minorHAnsi" w:cstheme="minorHAnsi"/>
        </w:rPr>
        <w:t xml:space="preserve">cí </w:t>
      </w:r>
      <w:r w:rsidRPr="00C24606">
        <w:rPr>
          <w:rFonts w:asciiTheme="minorHAnsi" w:hAnsiTheme="minorHAnsi" w:cstheme="minorHAnsi"/>
        </w:rPr>
        <w:t xml:space="preserve">struktura se proto bude řídit následujícími principy: </w:t>
      </w:r>
    </w:p>
    <w:p w:rsidR="001C7940" w:rsidRPr="00120681" w:rsidP="00C709C0" w14:paraId="60290BFB" w14:textId="40B6DA3C">
      <w:pPr>
        <w:pStyle w:val="ListParagraph"/>
        <w:numPr>
          <w:ilvl w:val="0"/>
          <w:numId w:val="38"/>
        </w:numPr>
        <w:autoSpaceDE w:val="0"/>
        <w:autoSpaceDN w:val="0"/>
        <w:adjustRightInd w:val="0"/>
        <w:spacing w:after="4"/>
        <w:jc w:val="both"/>
        <w:rPr>
          <w:rFonts w:asciiTheme="minorHAnsi" w:hAnsiTheme="minorHAnsi" w:cstheme="minorHAnsi"/>
        </w:rPr>
      </w:pPr>
      <w:r w:rsidRPr="00120681">
        <w:rPr>
          <w:rFonts w:asciiTheme="minorHAnsi" w:hAnsiTheme="minorHAnsi" w:cstheme="minorHAnsi"/>
        </w:rPr>
        <w:t xml:space="preserve">Efektivní vynakládání nákladů a důraz na efektivitu řízení </w:t>
      </w:r>
    </w:p>
    <w:p w:rsidR="001C7940" w:rsidRPr="00120681" w:rsidP="00C709C0" w14:paraId="21BD75A7" w14:textId="22343E67">
      <w:pPr>
        <w:pStyle w:val="ListParagraph"/>
        <w:numPr>
          <w:ilvl w:val="0"/>
          <w:numId w:val="38"/>
        </w:numPr>
        <w:autoSpaceDE w:val="0"/>
        <w:autoSpaceDN w:val="0"/>
        <w:adjustRightInd w:val="0"/>
        <w:spacing w:after="4"/>
        <w:jc w:val="both"/>
        <w:rPr>
          <w:rFonts w:asciiTheme="minorHAnsi" w:hAnsiTheme="minorHAnsi" w:cstheme="minorHAnsi"/>
        </w:rPr>
      </w:pPr>
      <w:r w:rsidRPr="00120681">
        <w:rPr>
          <w:rFonts w:asciiTheme="minorHAnsi" w:hAnsiTheme="minorHAnsi" w:cstheme="minorHAnsi"/>
        </w:rPr>
        <w:t xml:space="preserve">Práce s informacemi odpovídajícími potřebám každé úrovně řízení – správné informace jsou poskytovány relevantním uživatelům a ve správný čas </w:t>
      </w:r>
    </w:p>
    <w:p w:rsidR="001C7940" w:rsidRPr="00120681" w:rsidP="00C709C0" w14:paraId="7C574D7F" w14:textId="504C8A37">
      <w:pPr>
        <w:pStyle w:val="ListParagraph"/>
        <w:numPr>
          <w:ilvl w:val="0"/>
          <w:numId w:val="38"/>
        </w:numPr>
        <w:autoSpaceDE w:val="0"/>
        <w:autoSpaceDN w:val="0"/>
        <w:adjustRightInd w:val="0"/>
        <w:spacing w:after="4"/>
        <w:jc w:val="both"/>
        <w:rPr>
          <w:rFonts w:asciiTheme="minorHAnsi" w:hAnsiTheme="minorHAnsi" w:cstheme="minorHAnsi"/>
        </w:rPr>
      </w:pPr>
      <w:r w:rsidRPr="00120681">
        <w:rPr>
          <w:rFonts w:asciiTheme="minorHAnsi" w:hAnsiTheme="minorHAnsi" w:cstheme="minorHAnsi"/>
        </w:rPr>
        <w:t xml:space="preserve">Oddělení funkcí monitorování a hodnocení od standardních řídicích struktur při zachování jejich vzájemné komplementarity </w:t>
      </w:r>
    </w:p>
    <w:p w:rsidR="001C7940" w:rsidRPr="00120681" w:rsidP="00C709C0" w14:paraId="3C450C6E" w14:textId="19D20117">
      <w:pPr>
        <w:pStyle w:val="ListParagraph"/>
        <w:numPr>
          <w:ilvl w:val="0"/>
          <w:numId w:val="38"/>
        </w:numPr>
        <w:autoSpaceDE w:val="0"/>
        <w:autoSpaceDN w:val="0"/>
        <w:adjustRightInd w:val="0"/>
        <w:jc w:val="both"/>
        <w:rPr>
          <w:rFonts w:asciiTheme="minorHAnsi" w:hAnsiTheme="minorHAnsi" w:cstheme="minorHAnsi"/>
        </w:rPr>
      </w:pPr>
      <w:r w:rsidRPr="00120681">
        <w:rPr>
          <w:rFonts w:asciiTheme="minorHAnsi" w:hAnsiTheme="minorHAnsi" w:cstheme="minorHAnsi"/>
        </w:rPr>
        <w:t xml:space="preserve">Maximální využití již existujících řídicích struktur. </w:t>
      </w:r>
    </w:p>
    <w:p w:rsidR="001C7940" w:rsidRPr="00C24606" w:rsidP="00C709C0" w14:paraId="3FFAA536" w14:textId="77777777">
      <w:pPr>
        <w:autoSpaceDE w:val="0"/>
        <w:autoSpaceDN w:val="0"/>
        <w:adjustRightInd w:val="0"/>
        <w:jc w:val="both"/>
        <w:rPr>
          <w:rFonts w:asciiTheme="minorHAnsi" w:hAnsiTheme="minorHAnsi" w:cstheme="minorHAnsi"/>
        </w:rPr>
      </w:pPr>
    </w:p>
    <w:p w:rsidR="00F654F0" w:rsidRPr="00C24606" w:rsidP="00C709C0" w14:paraId="0DA0ECE0" w14:textId="77777777">
      <w:pPr>
        <w:autoSpaceDE w:val="0"/>
        <w:autoSpaceDN w:val="0"/>
        <w:adjustRightInd w:val="0"/>
        <w:jc w:val="both"/>
        <w:rPr>
          <w:rFonts w:asciiTheme="minorHAnsi" w:hAnsiTheme="minorHAnsi" w:cstheme="minorHAnsi"/>
        </w:rPr>
      </w:pPr>
    </w:p>
    <w:p w:rsidR="006234D1" w:rsidRPr="00C24606" w:rsidP="00C709C0" w14:paraId="6EDD3A89" w14:textId="77777777">
      <w:pPr>
        <w:autoSpaceDE w:val="0"/>
        <w:autoSpaceDN w:val="0"/>
        <w:adjustRightInd w:val="0"/>
        <w:jc w:val="both"/>
        <w:rPr>
          <w:rFonts w:asciiTheme="minorHAnsi" w:hAnsiTheme="minorHAnsi" w:cstheme="minorHAnsi"/>
        </w:rPr>
      </w:pPr>
    </w:p>
    <w:p w:rsidR="00796CA8" w:rsidRPr="00C24606" w:rsidP="00C709C0" w14:paraId="381B9C12" w14:textId="77777777">
      <w:pPr>
        <w:autoSpaceDE w:val="0"/>
        <w:autoSpaceDN w:val="0"/>
        <w:adjustRightInd w:val="0"/>
        <w:jc w:val="both"/>
        <w:rPr>
          <w:rFonts w:asciiTheme="minorHAnsi" w:hAnsiTheme="minorHAnsi" w:cstheme="minorHAnsi"/>
        </w:rPr>
      </w:pPr>
    </w:p>
    <w:p w:rsidR="00796CA8" w:rsidRPr="00C24606" w:rsidP="00C709C0" w14:paraId="163F3396" w14:textId="77777777">
      <w:pPr>
        <w:autoSpaceDE w:val="0"/>
        <w:autoSpaceDN w:val="0"/>
        <w:adjustRightInd w:val="0"/>
        <w:jc w:val="both"/>
        <w:rPr>
          <w:rFonts w:asciiTheme="minorHAnsi" w:hAnsiTheme="minorHAnsi" w:cstheme="minorHAnsi"/>
        </w:rPr>
      </w:pPr>
      <w:r w:rsidRPr="00C24606">
        <w:rPr>
          <w:rFonts w:asciiTheme="minorHAnsi" w:hAnsiTheme="minorHAnsi" w:cstheme="minorHAnsi"/>
          <w:noProof/>
        </w:rPr>
        <w:drawing>
          <wp:inline distT="0" distB="0" distL="0" distR="0">
            <wp:extent cx="5972175" cy="4131170"/>
            <wp:effectExtent l="0" t="0" r="9525" b="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796CA8" w:rsidRPr="00C24606" w:rsidP="00C709C0" w14:paraId="11AABB31" w14:textId="77777777">
      <w:pPr>
        <w:autoSpaceDE w:val="0"/>
        <w:autoSpaceDN w:val="0"/>
        <w:adjustRightInd w:val="0"/>
        <w:jc w:val="both"/>
        <w:rPr>
          <w:rFonts w:asciiTheme="minorHAnsi" w:hAnsiTheme="minorHAnsi" w:cstheme="minorHAnsi"/>
        </w:rPr>
      </w:pPr>
    </w:p>
    <w:p w:rsidR="003E7EB8" w:rsidRPr="003E7EB8" w:rsidP="003E7EB8" w14:paraId="2D1A1D59" w14:textId="29504DCA">
      <w:pPr>
        <w:autoSpaceDE w:val="0"/>
        <w:autoSpaceDN w:val="0"/>
        <w:adjustRightInd w:val="0"/>
        <w:jc w:val="both"/>
        <w:rPr>
          <w:rFonts w:asciiTheme="minorHAnsi" w:hAnsiTheme="minorHAnsi" w:cstheme="minorHAnsi"/>
          <w:sz w:val="20"/>
          <w:szCs w:val="20"/>
        </w:rPr>
      </w:pPr>
      <w:r w:rsidRPr="003E7EB8">
        <w:rPr>
          <w:rFonts w:asciiTheme="minorHAnsi" w:hAnsiTheme="minorHAnsi" w:cstheme="minorHAnsi"/>
          <w:sz w:val="20"/>
          <w:szCs w:val="20"/>
        </w:rPr>
        <w:t xml:space="preserve">Obr. č. 2: Schéma realizační struktury </w:t>
      </w:r>
    </w:p>
    <w:p w:rsidR="00C11F34" w:rsidRPr="00C24606" w:rsidP="00C709C0" w14:paraId="5DDBF508" w14:textId="77777777">
      <w:pPr>
        <w:jc w:val="both"/>
        <w:rPr>
          <w:rFonts w:asciiTheme="minorHAnsi" w:hAnsiTheme="minorHAnsi" w:cstheme="minorHAnsi"/>
        </w:rPr>
      </w:pPr>
      <w:r w:rsidRPr="00C24606">
        <w:rPr>
          <w:rFonts w:asciiTheme="minorHAnsi" w:hAnsiTheme="minorHAnsi" w:cstheme="minorHAnsi"/>
        </w:rPr>
        <w:br w:type="page"/>
      </w:r>
    </w:p>
    <w:p w:rsidR="000732A2" w:rsidRPr="00C24606" w:rsidP="00C709C0" w14:paraId="5A541084" w14:textId="77777777">
      <w:pPr>
        <w:pStyle w:val="Heading1"/>
        <w:numPr>
          <w:ilvl w:val="0"/>
          <w:numId w:val="13"/>
        </w:numPr>
        <w:jc w:val="both"/>
        <w:rPr>
          <w:rFonts w:cstheme="minorHAnsi"/>
        </w:rPr>
      </w:pPr>
      <w:bookmarkStart w:id="255" w:name="_Toc256000012"/>
      <w:r w:rsidRPr="00C24606">
        <w:rPr>
          <w:rFonts w:cstheme="minorHAnsi"/>
        </w:rPr>
        <w:t>Řízení rizik</w:t>
      </w:r>
      <w:bookmarkEnd w:id="255"/>
      <w:r w:rsidRPr="00C24606">
        <w:rPr>
          <w:rFonts w:cstheme="minorHAnsi"/>
        </w:rPr>
        <w:t xml:space="preserve"> </w:t>
      </w:r>
    </w:p>
    <w:p w:rsidR="000732A2" w:rsidRPr="00C24606" w:rsidP="00C709C0" w14:paraId="660A8546" w14:textId="77777777">
      <w:pPr>
        <w:autoSpaceDE w:val="0"/>
        <w:autoSpaceDN w:val="0"/>
        <w:adjustRightInd w:val="0"/>
        <w:jc w:val="both"/>
        <w:rPr>
          <w:rFonts w:asciiTheme="minorHAnsi" w:hAnsiTheme="minorHAnsi" w:cstheme="minorHAnsi"/>
          <w:b/>
        </w:rPr>
      </w:pPr>
    </w:p>
    <w:p w:rsidR="003E7EB8" w:rsidRPr="004E1D76" w:rsidP="003E7EB8" w14:paraId="792C5E4E"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3E7EB8" w:rsidRPr="00890F0E" w:rsidP="003E7EB8" w14:paraId="362AD737" w14:textId="77777777">
      <w:pPr>
        <w:jc w:val="both"/>
      </w:pPr>
    </w:p>
    <w:p w:rsidR="003E7EB8" w:rsidRPr="004E1D76" w:rsidP="003E7EB8" w14:paraId="248F1CA5"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3E7EB8" w:rsidRPr="004E1D76" w:rsidP="003E7EB8" w14:paraId="214A9A3E" w14:textId="77777777">
      <w:pPr>
        <w:jc w:val="both"/>
        <w:rPr>
          <w:rFonts w:asciiTheme="minorHAnsi" w:hAnsiTheme="minorHAnsi" w:cs="Arial"/>
        </w:rPr>
      </w:pPr>
    </w:p>
    <w:p w:rsidR="003E7EB8" w:rsidRPr="004E1D76" w:rsidP="003E7EB8" w14:paraId="460C0E1F" w14:textId="49795E53">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w:t>
      </w:r>
      <w:r>
        <w:rPr>
          <w:rFonts w:asciiTheme="minorHAnsi" w:hAnsiTheme="minorHAnsi" w:cs="Arial"/>
          <w:bCs/>
        </w:rPr>
        <w:t> </w:t>
      </w:r>
      <w:r w:rsidRPr="003C685E">
        <w:rPr>
          <w:rFonts w:asciiTheme="minorHAnsi" w:hAnsiTheme="minorHAnsi" w:cs="Arial"/>
          <w:bCs/>
        </w:rPr>
        <w:t>to minimálně jednou ročně jako součást Zprávy o průběhu realizace implementačního plánu.</w:t>
      </w:r>
      <w:r w:rsidRPr="004E1D76">
        <w:rPr>
          <w:rFonts w:asciiTheme="minorHAnsi" w:hAnsiTheme="minorHAnsi" w:cs="Arial"/>
        </w:rPr>
        <w:t xml:space="preserve"> Součástí je i</w:t>
      </w:r>
      <w:r>
        <w:rPr>
          <w:rFonts w:asciiTheme="minorHAnsi" w:hAnsiTheme="minorHAnsi" w:cs="Arial"/>
        </w:rPr>
        <w:t> </w:t>
      </w:r>
      <w:r w:rsidRPr="004E1D76">
        <w:rPr>
          <w:rFonts w:asciiTheme="minorHAnsi" w:hAnsiTheme="minorHAnsi" w:cs="Arial"/>
        </w:rPr>
        <w:t xml:space="preserve">vyhodnocení plnění nápravných opatření přijatých v průběhu daného roku.  </w:t>
      </w:r>
    </w:p>
    <w:p w:rsidR="003E7EB8" w:rsidRPr="00805447" w:rsidP="003E7EB8" w14:paraId="57868DAF" w14:textId="77777777">
      <w:pPr>
        <w:jc w:val="both"/>
      </w:pPr>
    </w:p>
    <w:p w:rsidR="003E7EB8" w:rsidRPr="004E1D76" w:rsidP="003E7EB8" w14:paraId="5FF644EB"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3E7EB8" w:rsidRPr="00805447" w:rsidP="003E7EB8" w14:paraId="05BEDD1E" w14:textId="77777777">
      <w:pPr>
        <w:jc w:val="both"/>
        <w:rPr>
          <w:rFonts w:asciiTheme="minorHAnsi" w:hAnsiTheme="minorHAnsi" w:cs="Arial"/>
        </w:rPr>
      </w:pPr>
    </w:p>
    <w:p w:rsidR="003E7EB8" w:rsidRPr="00805447" w:rsidP="003E7EB8" w14:paraId="0635710A" w14:textId="25C736D6">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w:t>
      </w:r>
      <w:r>
        <w:rPr>
          <w:rFonts w:asciiTheme="minorHAnsi" w:hAnsiTheme="minorHAnsi" w:cs="Arial"/>
        </w:rPr>
        <w:t> </w:t>
      </w:r>
      <w:r w:rsidRPr="004E1D76">
        <w:rPr>
          <w:rFonts w:asciiTheme="minorHAnsi" w:hAnsiTheme="minorHAnsi" w:cs="Arial"/>
        </w:rPr>
        <w:t>nich vlastníky rizik.</w:t>
      </w:r>
      <w:r w:rsidRPr="00805447">
        <w:rPr>
          <w:rFonts w:asciiTheme="minorHAnsi" w:hAnsiTheme="minorHAnsi" w:cs="Arial"/>
        </w:rPr>
        <w:t xml:space="preserve"> </w:t>
      </w:r>
    </w:p>
    <w:p w:rsidR="003E7EB8" w:rsidRPr="004E1D76" w:rsidP="003E7EB8" w14:paraId="4B3E3565" w14:textId="77777777">
      <w:pPr>
        <w:jc w:val="both"/>
        <w:rPr>
          <w:rFonts w:asciiTheme="minorHAnsi" w:hAnsiTheme="minorHAnsi" w:cs="Arial"/>
        </w:rPr>
      </w:pPr>
    </w:p>
    <w:p w:rsidR="003E7EB8" w:rsidP="003E7EB8" w14:paraId="2C933657"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BA76A7" w:rsidRPr="00C24606" w:rsidP="00C709C0" w14:paraId="62D34501" w14:textId="77777777">
      <w:pPr>
        <w:autoSpaceDE w:val="0"/>
        <w:autoSpaceDN w:val="0"/>
        <w:adjustRightInd w:val="0"/>
        <w:jc w:val="both"/>
        <w:rPr>
          <w:rFonts w:asciiTheme="minorHAnsi" w:hAnsiTheme="minorHAnsi" w:cstheme="minorHAnsi"/>
        </w:rPr>
      </w:pPr>
    </w:p>
    <w:p w:rsidR="000A5108" w:rsidP="00C709C0" w14:paraId="5E0B16E5" w14:textId="51E8CF83">
      <w:pPr>
        <w:autoSpaceDE w:val="0"/>
        <w:autoSpaceDN w:val="0"/>
        <w:adjustRightInd w:val="0"/>
        <w:jc w:val="both"/>
        <w:rPr>
          <w:rFonts w:asciiTheme="minorHAnsi" w:hAnsiTheme="minorHAnsi" w:cstheme="minorHAnsi"/>
        </w:rPr>
      </w:pPr>
    </w:p>
    <w:tbl>
      <w:tblPr>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70"/>
        <w:gridCol w:w="1843"/>
        <w:gridCol w:w="851"/>
        <w:gridCol w:w="992"/>
        <w:gridCol w:w="992"/>
        <w:gridCol w:w="1134"/>
        <w:gridCol w:w="1417"/>
      </w:tblGrid>
      <w:tr w14:paraId="48BC626A" w14:textId="77777777" w:rsidTr="007E429D">
        <w:tblPrEx>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2170" w:type="dxa"/>
          </w:tcPr>
          <w:p w:rsidR="009E28C4" w:rsidRPr="003E7EB8" w:rsidP="00C709C0" w14:paraId="6A7A3FBB" w14:textId="77777777">
            <w:pPr>
              <w:autoSpaceDE w:val="0"/>
              <w:autoSpaceDN w:val="0"/>
              <w:adjustRightInd w:val="0"/>
              <w:ind w:left="-23"/>
              <w:jc w:val="both"/>
              <w:rPr>
                <w:rFonts w:asciiTheme="minorHAnsi" w:hAnsiTheme="minorHAnsi" w:cstheme="minorHAnsi"/>
                <w:b/>
                <w:bCs/>
                <w:sz w:val="22"/>
                <w:szCs w:val="22"/>
              </w:rPr>
            </w:pPr>
            <w:r w:rsidRPr="003E7EB8">
              <w:rPr>
                <w:rFonts w:asciiTheme="minorHAnsi" w:hAnsiTheme="minorHAnsi" w:cstheme="minorHAnsi"/>
                <w:b/>
                <w:bCs/>
                <w:sz w:val="22"/>
                <w:szCs w:val="22"/>
              </w:rPr>
              <w:t>Název rizika</w:t>
            </w:r>
          </w:p>
        </w:tc>
        <w:tc>
          <w:tcPr>
            <w:tcW w:w="1843" w:type="dxa"/>
          </w:tcPr>
          <w:p w:rsidR="009E28C4" w:rsidRPr="003E7EB8" w:rsidP="00C709C0" w14:paraId="6EEBE264" w14:textId="77777777">
            <w:pPr>
              <w:autoSpaceDE w:val="0"/>
              <w:autoSpaceDN w:val="0"/>
              <w:adjustRightInd w:val="0"/>
              <w:jc w:val="both"/>
              <w:rPr>
                <w:rFonts w:asciiTheme="minorHAnsi" w:hAnsiTheme="minorHAnsi" w:cstheme="minorHAnsi"/>
                <w:b/>
                <w:bCs/>
                <w:sz w:val="22"/>
                <w:szCs w:val="22"/>
              </w:rPr>
            </w:pPr>
            <w:r w:rsidRPr="003E7EB8">
              <w:rPr>
                <w:rFonts w:asciiTheme="minorHAnsi" w:hAnsiTheme="minorHAnsi" w:cstheme="minorHAnsi"/>
                <w:b/>
                <w:bCs/>
                <w:sz w:val="22"/>
                <w:szCs w:val="22"/>
              </w:rPr>
              <w:t>Popis rizika</w:t>
            </w:r>
          </w:p>
        </w:tc>
        <w:tc>
          <w:tcPr>
            <w:tcW w:w="851" w:type="dxa"/>
          </w:tcPr>
          <w:p w:rsidR="004941B8" w:rsidRPr="003E7EB8" w:rsidP="00C709C0" w14:paraId="6A590106" w14:textId="7173F203">
            <w:pPr>
              <w:autoSpaceDE w:val="0"/>
              <w:autoSpaceDN w:val="0"/>
              <w:adjustRightInd w:val="0"/>
              <w:jc w:val="both"/>
              <w:rPr>
                <w:rFonts w:asciiTheme="minorHAnsi" w:hAnsiTheme="minorHAnsi" w:cstheme="minorHAnsi"/>
                <w:b/>
                <w:bCs/>
                <w:sz w:val="22"/>
                <w:szCs w:val="22"/>
              </w:rPr>
            </w:pPr>
            <w:r w:rsidRPr="003E7EB8">
              <w:rPr>
                <w:rFonts w:asciiTheme="minorHAnsi" w:hAnsiTheme="minorHAnsi" w:cstheme="minorHAnsi"/>
                <w:b/>
                <w:bCs/>
                <w:sz w:val="22"/>
                <w:szCs w:val="22"/>
              </w:rPr>
              <w:t>Dopad</w:t>
            </w:r>
            <w:r w:rsidRPr="003E7EB8" w:rsidR="009E28C4">
              <w:rPr>
                <w:rFonts w:asciiTheme="minorHAnsi" w:hAnsiTheme="minorHAnsi" w:cstheme="minorHAnsi"/>
                <w:b/>
                <w:bCs/>
                <w:sz w:val="22"/>
                <w:szCs w:val="22"/>
              </w:rPr>
              <w:t xml:space="preserve"> rizika</w:t>
            </w:r>
            <w:r>
              <w:rPr>
                <w:rStyle w:val="FootnoteReference"/>
                <w:rFonts w:asciiTheme="minorHAnsi" w:hAnsiTheme="minorHAnsi" w:cstheme="minorHAnsi"/>
                <w:b/>
                <w:bCs/>
                <w:sz w:val="22"/>
                <w:szCs w:val="22"/>
              </w:rPr>
              <w:footnoteReference w:id="5"/>
            </w:r>
          </w:p>
        </w:tc>
        <w:tc>
          <w:tcPr>
            <w:tcW w:w="992" w:type="dxa"/>
          </w:tcPr>
          <w:p w:rsidR="009E28C4" w:rsidRPr="003E7EB8" w:rsidP="00C709C0" w14:paraId="73893631" w14:textId="45DFD9AF">
            <w:pPr>
              <w:autoSpaceDE w:val="0"/>
              <w:autoSpaceDN w:val="0"/>
              <w:adjustRightInd w:val="0"/>
              <w:jc w:val="both"/>
              <w:rPr>
                <w:rFonts w:asciiTheme="minorHAnsi" w:hAnsiTheme="minorHAnsi" w:cstheme="minorHAnsi"/>
                <w:b/>
                <w:bCs/>
                <w:sz w:val="22"/>
                <w:szCs w:val="22"/>
              </w:rPr>
            </w:pPr>
            <w:r w:rsidRPr="003E7EB8">
              <w:rPr>
                <w:rFonts w:asciiTheme="minorHAnsi" w:hAnsiTheme="minorHAnsi" w:cstheme="minorHAnsi"/>
                <w:b/>
                <w:bCs/>
                <w:sz w:val="22"/>
                <w:szCs w:val="22"/>
              </w:rPr>
              <w:t>Pravděpodobnost výskytu rizika</w:t>
            </w:r>
            <w:r>
              <w:rPr>
                <w:rStyle w:val="FootnoteReference"/>
                <w:rFonts w:asciiTheme="minorHAnsi" w:hAnsiTheme="minorHAnsi" w:cstheme="minorHAnsi"/>
                <w:b/>
                <w:bCs/>
                <w:sz w:val="22"/>
                <w:szCs w:val="22"/>
              </w:rPr>
              <w:footnoteReference w:id="6"/>
            </w:r>
          </w:p>
        </w:tc>
        <w:tc>
          <w:tcPr>
            <w:tcW w:w="992" w:type="dxa"/>
          </w:tcPr>
          <w:p w:rsidR="009E28C4" w:rsidRPr="003E7EB8" w:rsidP="00C709C0" w14:paraId="71F0EF08" w14:textId="269E4D7C">
            <w:pPr>
              <w:autoSpaceDE w:val="0"/>
              <w:autoSpaceDN w:val="0"/>
              <w:adjustRightInd w:val="0"/>
              <w:jc w:val="both"/>
              <w:rPr>
                <w:rFonts w:asciiTheme="minorHAnsi" w:hAnsiTheme="minorHAnsi" w:cstheme="minorHAnsi"/>
                <w:b/>
                <w:bCs/>
                <w:sz w:val="22"/>
                <w:szCs w:val="22"/>
              </w:rPr>
            </w:pPr>
            <w:r w:rsidRPr="003E7EB8">
              <w:rPr>
                <w:rFonts w:asciiTheme="minorHAnsi" w:hAnsiTheme="minorHAnsi" w:cstheme="minorHAnsi"/>
                <w:b/>
                <w:bCs/>
                <w:sz w:val="22"/>
                <w:szCs w:val="22"/>
              </w:rPr>
              <w:t>Význam</w:t>
            </w:r>
            <w:r w:rsidRPr="003E7EB8" w:rsidR="004941B8">
              <w:rPr>
                <w:rFonts w:asciiTheme="minorHAnsi" w:hAnsiTheme="minorHAnsi" w:cstheme="minorHAnsi"/>
                <w:b/>
                <w:bCs/>
                <w:sz w:val="22"/>
                <w:szCs w:val="22"/>
              </w:rPr>
              <w:t>nost</w:t>
            </w:r>
            <w:r w:rsidRPr="003E7EB8" w:rsidR="00BA76A7">
              <w:rPr>
                <w:rFonts w:asciiTheme="minorHAnsi" w:hAnsiTheme="minorHAnsi" w:cstheme="minorHAnsi"/>
                <w:b/>
                <w:bCs/>
                <w:sz w:val="22"/>
                <w:szCs w:val="22"/>
              </w:rPr>
              <w:t xml:space="preserve"> </w:t>
            </w:r>
            <w:r w:rsidRPr="003E7EB8">
              <w:rPr>
                <w:rFonts w:asciiTheme="minorHAnsi" w:hAnsiTheme="minorHAnsi" w:cstheme="minorHAnsi"/>
                <w:b/>
                <w:bCs/>
                <w:sz w:val="22"/>
                <w:szCs w:val="22"/>
              </w:rPr>
              <w:t>rizika</w:t>
            </w:r>
            <w:r>
              <w:rPr>
                <w:rStyle w:val="FootnoteReference"/>
                <w:rFonts w:asciiTheme="minorHAnsi" w:hAnsiTheme="minorHAnsi" w:cstheme="minorHAnsi"/>
                <w:b/>
                <w:bCs/>
                <w:sz w:val="22"/>
                <w:szCs w:val="22"/>
              </w:rPr>
              <w:footnoteReference w:id="7"/>
            </w:r>
          </w:p>
        </w:tc>
        <w:tc>
          <w:tcPr>
            <w:tcW w:w="1134" w:type="dxa"/>
          </w:tcPr>
          <w:p w:rsidR="009E28C4" w:rsidRPr="003E7EB8" w:rsidP="00C709C0" w14:paraId="430F0236" w14:textId="77777777">
            <w:pPr>
              <w:autoSpaceDE w:val="0"/>
              <w:autoSpaceDN w:val="0"/>
              <w:adjustRightInd w:val="0"/>
              <w:jc w:val="both"/>
              <w:rPr>
                <w:rFonts w:asciiTheme="minorHAnsi" w:hAnsiTheme="minorHAnsi" w:cstheme="minorHAnsi"/>
                <w:b/>
                <w:bCs/>
                <w:sz w:val="22"/>
                <w:szCs w:val="22"/>
              </w:rPr>
            </w:pPr>
            <w:r w:rsidRPr="003E7EB8">
              <w:rPr>
                <w:rFonts w:asciiTheme="minorHAnsi" w:hAnsiTheme="minorHAnsi" w:cstheme="minorHAnsi"/>
                <w:b/>
                <w:bCs/>
                <w:sz w:val="22"/>
                <w:szCs w:val="22"/>
              </w:rPr>
              <w:t>Opatření vedoucí ke snížení</w:t>
            </w:r>
            <w:r w:rsidRPr="003E7EB8">
              <w:rPr>
                <w:rFonts w:asciiTheme="minorHAnsi" w:hAnsiTheme="minorHAnsi" w:cstheme="minorHAnsi"/>
                <w:b/>
                <w:bCs/>
                <w:sz w:val="22"/>
                <w:szCs w:val="22"/>
              </w:rPr>
              <w:t xml:space="preserve"> rizika</w:t>
            </w:r>
          </w:p>
        </w:tc>
        <w:tc>
          <w:tcPr>
            <w:tcW w:w="1417" w:type="dxa"/>
          </w:tcPr>
          <w:p w:rsidR="009E28C4" w:rsidRPr="003E7EB8" w:rsidP="00C709C0" w14:paraId="31D4B8A5" w14:textId="77777777">
            <w:pPr>
              <w:jc w:val="both"/>
              <w:rPr>
                <w:rFonts w:asciiTheme="minorHAnsi" w:hAnsiTheme="minorHAnsi" w:cstheme="minorHAnsi"/>
                <w:b/>
                <w:bCs/>
                <w:sz w:val="22"/>
                <w:szCs w:val="22"/>
              </w:rPr>
            </w:pPr>
            <w:r w:rsidRPr="003E7EB8">
              <w:rPr>
                <w:rFonts w:asciiTheme="minorHAnsi" w:hAnsiTheme="minorHAnsi" w:cstheme="minorHAnsi"/>
                <w:b/>
                <w:bCs/>
                <w:sz w:val="22"/>
                <w:szCs w:val="22"/>
              </w:rPr>
              <w:t xml:space="preserve">Vlastník nápravného opatření </w:t>
            </w:r>
          </w:p>
        </w:tc>
      </w:tr>
      <w:tr w14:paraId="72A71879" w14:textId="77777777" w:rsidTr="007E429D">
        <w:tblPrEx>
          <w:tblW w:w="9399" w:type="dxa"/>
          <w:tblInd w:w="93" w:type="dxa"/>
          <w:tblLayout w:type="fixed"/>
          <w:tblCellMar>
            <w:left w:w="70" w:type="dxa"/>
            <w:right w:w="70" w:type="dxa"/>
          </w:tblCellMar>
          <w:tblLook w:val="0000"/>
        </w:tblPrEx>
        <w:trPr>
          <w:trHeight w:val="705"/>
        </w:trPr>
        <w:tc>
          <w:tcPr>
            <w:tcW w:w="2170" w:type="dxa"/>
          </w:tcPr>
          <w:p w:rsidR="0026780C" w:rsidRPr="003E7EB8" w:rsidP="00C709C0" w14:paraId="7E18597E" w14:textId="77777777">
            <w:pPr>
              <w:autoSpaceDE w:val="0"/>
              <w:autoSpaceDN w:val="0"/>
              <w:adjustRightInd w:val="0"/>
              <w:ind w:left="-23"/>
              <w:jc w:val="both"/>
              <w:rPr>
                <w:rFonts w:asciiTheme="minorHAnsi" w:hAnsiTheme="minorHAnsi" w:cstheme="minorHAnsi"/>
                <w:bCs/>
                <w:sz w:val="22"/>
                <w:szCs w:val="22"/>
              </w:rPr>
            </w:pPr>
            <w:r w:rsidRPr="003E7EB8">
              <w:rPr>
                <w:rFonts w:asciiTheme="minorHAnsi" w:hAnsiTheme="minorHAnsi" w:cstheme="minorHAnsi"/>
                <w:bCs/>
                <w:sz w:val="22"/>
                <w:szCs w:val="22"/>
              </w:rPr>
              <w:t>Administrativní náročnost</w:t>
            </w:r>
          </w:p>
        </w:tc>
        <w:tc>
          <w:tcPr>
            <w:tcW w:w="1843" w:type="dxa"/>
          </w:tcPr>
          <w:p w:rsidR="0026780C" w:rsidRPr="003E7EB8" w:rsidP="00C709C0" w14:paraId="072E2093" w14:textId="0D6002F9">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Administrativní náročnost při realizaci</w:t>
            </w:r>
            <w:r w:rsidRPr="003E7EB8" w:rsidR="00F9660C">
              <w:rPr>
                <w:rFonts w:asciiTheme="minorHAnsi" w:hAnsiTheme="minorHAnsi" w:cstheme="minorHAnsi"/>
                <w:bCs/>
                <w:sz w:val="22"/>
                <w:szCs w:val="22"/>
              </w:rPr>
              <w:t xml:space="preserve"> jednotlivých opatření implementačního plánu</w:t>
            </w:r>
          </w:p>
        </w:tc>
        <w:tc>
          <w:tcPr>
            <w:tcW w:w="851" w:type="dxa"/>
          </w:tcPr>
          <w:p w:rsidR="0026780C" w:rsidRPr="003E7EB8" w:rsidP="00C709C0" w14:paraId="0FA46D2A"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2</w:t>
            </w:r>
            <w:r w:rsidRPr="003E7EB8" w:rsidR="008A78A8">
              <w:rPr>
                <w:rFonts w:asciiTheme="minorHAnsi" w:hAnsiTheme="minorHAnsi" w:cstheme="minorHAnsi"/>
                <w:bCs/>
                <w:sz w:val="22"/>
                <w:szCs w:val="22"/>
              </w:rPr>
              <w:t>,1</w:t>
            </w:r>
          </w:p>
        </w:tc>
        <w:tc>
          <w:tcPr>
            <w:tcW w:w="992" w:type="dxa"/>
          </w:tcPr>
          <w:p w:rsidR="0026780C" w:rsidRPr="003E7EB8" w:rsidP="00C709C0" w14:paraId="31FC9BDB"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2B4D54">
              <w:rPr>
                <w:rFonts w:asciiTheme="minorHAnsi" w:hAnsiTheme="minorHAnsi" w:cstheme="minorHAnsi"/>
                <w:bCs/>
                <w:sz w:val="22"/>
                <w:szCs w:val="22"/>
              </w:rPr>
              <w:t>,0</w:t>
            </w:r>
          </w:p>
        </w:tc>
        <w:tc>
          <w:tcPr>
            <w:tcW w:w="992" w:type="dxa"/>
          </w:tcPr>
          <w:p w:rsidR="0026780C" w:rsidRPr="003E7EB8" w:rsidP="00C709C0" w14:paraId="42F3F1DB" w14:textId="3660894B">
            <w:pPr>
              <w:jc w:val="both"/>
              <w:rPr>
                <w:rFonts w:asciiTheme="minorHAnsi" w:hAnsiTheme="minorHAnsi" w:cstheme="minorHAnsi"/>
                <w:bCs/>
                <w:sz w:val="22"/>
                <w:szCs w:val="22"/>
              </w:rPr>
            </w:pPr>
            <w:r w:rsidRPr="003E7EB8">
              <w:rPr>
                <w:rFonts w:asciiTheme="minorHAnsi" w:hAnsiTheme="minorHAnsi" w:cstheme="minorHAnsi"/>
                <w:bCs/>
                <w:sz w:val="22"/>
                <w:szCs w:val="22"/>
              </w:rPr>
              <w:t>6,3</w:t>
            </w:r>
          </w:p>
        </w:tc>
        <w:tc>
          <w:tcPr>
            <w:tcW w:w="1134" w:type="dxa"/>
          </w:tcPr>
          <w:p w:rsidR="0026780C" w:rsidRPr="003E7EB8" w:rsidP="00C709C0" w14:paraId="23923B79" w14:textId="64667D84">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Projednávání témat při přípravě</w:t>
            </w:r>
            <w:r w:rsidRPr="003E7EB8" w:rsidR="00692670">
              <w:rPr>
                <w:rFonts w:asciiTheme="minorHAnsi" w:hAnsiTheme="minorHAnsi" w:cstheme="minorHAnsi"/>
                <w:bCs/>
                <w:sz w:val="22"/>
                <w:szCs w:val="22"/>
              </w:rPr>
              <w:t>, zapojení do přípravy</w:t>
            </w:r>
          </w:p>
        </w:tc>
        <w:tc>
          <w:tcPr>
            <w:tcW w:w="1417" w:type="dxa"/>
          </w:tcPr>
          <w:p w:rsidR="0026780C" w:rsidRPr="003E7EB8" w:rsidP="00C709C0" w14:paraId="3C004D6D" w14:textId="3EECD7EF">
            <w:pPr>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07400E1B"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9E28C4" w:rsidRPr="003E7EB8" w:rsidP="00C709C0" w14:paraId="0F62DDE9"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Nedostatečné personální zajištění</w:t>
            </w:r>
          </w:p>
        </w:tc>
        <w:tc>
          <w:tcPr>
            <w:tcW w:w="1843" w:type="dxa"/>
          </w:tcPr>
          <w:p w:rsidR="009E28C4" w:rsidRPr="003E7EB8" w:rsidP="00C709C0" w14:paraId="5EE7E22C" w14:textId="76679A4A">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Nedostatek </w:t>
            </w:r>
            <w:r w:rsidRPr="003E7EB8" w:rsidR="00644407">
              <w:rPr>
                <w:rFonts w:asciiTheme="minorHAnsi" w:hAnsiTheme="minorHAnsi" w:cstheme="minorHAnsi"/>
                <w:bCs/>
                <w:sz w:val="22"/>
                <w:szCs w:val="22"/>
              </w:rPr>
              <w:t>personálních kapacit</w:t>
            </w:r>
          </w:p>
        </w:tc>
        <w:tc>
          <w:tcPr>
            <w:tcW w:w="851" w:type="dxa"/>
          </w:tcPr>
          <w:p w:rsidR="009E28C4" w:rsidRPr="003E7EB8" w:rsidP="00C709C0" w14:paraId="00DCAA79"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,1</w:t>
            </w:r>
          </w:p>
        </w:tc>
        <w:tc>
          <w:tcPr>
            <w:tcW w:w="992" w:type="dxa"/>
          </w:tcPr>
          <w:p w:rsidR="009E28C4" w:rsidRPr="003E7EB8" w:rsidP="00C709C0" w14:paraId="2C849A6E"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2B4D54">
              <w:rPr>
                <w:rFonts w:asciiTheme="minorHAnsi" w:hAnsiTheme="minorHAnsi" w:cstheme="minorHAnsi"/>
                <w:bCs/>
                <w:sz w:val="22"/>
                <w:szCs w:val="22"/>
              </w:rPr>
              <w:t>,1</w:t>
            </w:r>
          </w:p>
        </w:tc>
        <w:tc>
          <w:tcPr>
            <w:tcW w:w="992" w:type="dxa"/>
          </w:tcPr>
          <w:p w:rsidR="009E28C4" w:rsidRPr="003E7EB8" w:rsidP="00C709C0" w14:paraId="762549D2" w14:textId="6E553E71">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9,61</w:t>
            </w:r>
          </w:p>
        </w:tc>
        <w:tc>
          <w:tcPr>
            <w:tcW w:w="1134" w:type="dxa"/>
          </w:tcPr>
          <w:p w:rsidR="009E28C4" w:rsidRPr="003E7EB8" w:rsidP="00C709C0" w14:paraId="0F8DFD28" w14:textId="4AEA1E46">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Nastavení motivačních prvků</w:t>
            </w:r>
            <w:r w:rsidRPr="003E7EB8" w:rsidR="00644407">
              <w:rPr>
                <w:rFonts w:asciiTheme="minorHAnsi" w:hAnsiTheme="minorHAnsi" w:cstheme="minorHAnsi"/>
                <w:bCs/>
                <w:sz w:val="22"/>
                <w:szCs w:val="22"/>
              </w:rPr>
              <w:t xml:space="preserve"> práce na opatřeních</w:t>
            </w:r>
          </w:p>
        </w:tc>
        <w:tc>
          <w:tcPr>
            <w:tcW w:w="1417" w:type="dxa"/>
          </w:tcPr>
          <w:p w:rsidR="009E28C4" w:rsidRPr="003E7EB8" w:rsidP="00C709C0" w14:paraId="5535AD23" w14:textId="5F053058">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4DF7E998"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9E28C4" w:rsidRPr="003E7EB8" w:rsidP="00C709C0" w14:paraId="3F69D4FC" w14:textId="5E04B3E8">
            <w:pPr>
              <w:autoSpaceDE w:val="0"/>
              <w:autoSpaceDN w:val="0"/>
              <w:adjustRightInd w:val="0"/>
              <w:jc w:val="both"/>
              <w:rPr>
                <w:rFonts w:asciiTheme="minorHAnsi" w:hAnsiTheme="minorHAnsi" w:cstheme="minorHAnsi"/>
                <w:iCs/>
                <w:sz w:val="22"/>
                <w:szCs w:val="22"/>
              </w:rPr>
            </w:pPr>
            <w:r w:rsidRPr="003E7EB8">
              <w:rPr>
                <w:rFonts w:asciiTheme="minorHAnsi" w:hAnsiTheme="minorHAnsi" w:cstheme="minorHAnsi"/>
                <w:iCs/>
                <w:sz w:val="22"/>
                <w:szCs w:val="22"/>
              </w:rPr>
              <w:t>Nevytvoření nových komponent</w:t>
            </w:r>
            <w:r w:rsidRPr="003E7EB8" w:rsidR="007A6E43">
              <w:rPr>
                <w:rFonts w:asciiTheme="minorHAnsi" w:hAnsiTheme="minorHAnsi" w:cstheme="minorHAnsi"/>
                <w:iCs/>
                <w:sz w:val="22"/>
                <w:szCs w:val="22"/>
              </w:rPr>
              <w:t xml:space="preserve"> </w:t>
            </w:r>
            <w:r w:rsidRPr="003E7EB8" w:rsidR="00F9660C">
              <w:rPr>
                <w:rFonts w:asciiTheme="minorHAnsi" w:hAnsiTheme="minorHAnsi" w:cstheme="minorHAnsi"/>
                <w:iCs/>
                <w:sz w:val="22"/>
                <w:szCs w:val="22"/>
              </w:rPr>
              <w:t>elektronického zdravotnictví</w:t>
            </w:r>
          </w:p>
        </w:tc>
        <w:tc>
          <w:tcPr>
            <w:tcW w:w="1843" w:type="dxa"/>
          </w:tcPr>
          <w:p w:rsidR="009E28C4" w:rsidRPr="003E7EB8" w:rsidP="00C709C0" w14:paraId="5A1CA3B5" w14:textId="44A8440C">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Bez nových komponent</w:t>
            </w:r>
            <w:r w:rsidRPr="003E7EB8" w:rsidR="00B01AB6">
              <w:rPr>
                <w:rFonts w:asciiTheme="minorHAnsi" w:hAnsiTheme="minorHAnsi" w:cstheme="minorHAnsi"/>
                <w:bCs/>
                <w:sz w:val="22"/>
                <w:szCs w:val="22"/>
              </w:rPr>
              <w:t xml:space="preserve"> elektronického zdravotnictví</w:t>
            </w:r>
          </w:p>
        </w:tc>
        <w:tc>
          <w:tcPr>
            <w:tcW w:w="851" w:type="dxa"/>
          </w:tcPr>
          <w:p w:rsidR="009E28C4" w:rsidRPr="003E7EB8" w:rsidP="00C709C0" w14:paraId="17C140A1"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w:t>
            </w:r>
            <w:r w:rsidRPr="003E7EB8" w:rsidR="002B4D54">
              <w:rPr>
                <w:rFonts w:asciiTheme="minorHAnsi" w:hAnsiTheme="minorHAnsi" w:cstheme="minorHAnsi"/>
                <w:bCs/>
                <w:sz w:val="22"/>
                <w:szCs w:val="22"/>
              </w:rPr>
              <w:t>0</w:t>
            </w:r>
          </w:p>
        </w:tc>
        <w:tc>
          <w:tcPr>
            <w:tcW w:w="992" w:type="dxa"/>
          </w:tcPr>
          <w:p w:rsidR="009E28C4" w:rsidRPr="003E7EB8" w:rsidP="00C709C0" w14:paraId="6BD92D36"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2B4D54">
              <w:rPr>
                <w:rFonts w:asciiTheme="minorHAnsi" w:hAnsiTheme="minorHAnsi" w:cstheme="minorHAnsi"/>
                <w:bCs/>
                <w:sz w:val="22"/>
                <w:szCs w:val="22"/>
              </w:rPr>
              <w:t>,0</w:t>
            </w:r>
          </w:p>
        </w:tc>
        <w:tc>
          <w:tcPr>
            <w:tcW w:w="992" w:type="dxa"/>
          </w:tcPr>
          <w:p w:rsidR="009E28C4" w:rsidRPr="003E7EB8" w:rsidP="00C709C0" w14:paraId="05A870D3" w14:textId="0148EA13">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9,0</w:t>
            </w:r>
          </w:p>
        </w:tc>
        <w:tc>
          <w:tcPr>
            <w:tcW w:w="1134" w:type="dxa"/>
          </w:tcPr>
          <w:p w:rsidR="009E28C4" w:rsidRPr="003E7EB8" w:rsidP="00C709C0" w14:paraId="29FCFA0A" w14:textId="08381AFF">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Projednávání aktivit vedoucích k naplnění</w:t>
            </w:r>
          </w:p>
        </w:tc>
        <w:tc>
          <w:tcPr>
            <w:tcW w:w="1417" w:type="dxa"/>
          </w:tcPr>
          <w:p w:rsidR="009E28C4" w:rsidRPr="003E7EB8" w:rsidP="00C709C0" w14:paraId="69110BA0" w14:textId="1387A8B3">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0F5CF0B6"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C070E3" w:rsidRPr="003E7EB8" w:rsidP="00C709C0" w14:paraId="3AC93859" w14:textId="77777777">
            <w:pPr>
              <w:autoSpaceDE w:val="0"/>
              <w:autoSpaceDN w:val="0"/>
              <w:adjustRightInd w:val="0"/>
              <w:jc w:val="both"/>
              <w:rPr>
                <w:rFonts w:asciiTheme="minorHAnsi" w:hAnsiTheme="minorHAnsi" w:cstheme="minorHAnsi"/>
                <w:iCs/>
                <w:sz w:val="22"/>
                <w:szCs w:val="22"/>
              </w:rPr>
            </w:pPr>
            <w:r w:rsidRPr="003E7EB8">
              <w:rPr>
                <w:rFonts w:asciiTheme="minorHAnsi" w:hAnsiTheme="minorHAnsi" w:cstheme="minorHAnsi"/>
                <w:iCs/>
                <w:sz w:val="22"/>
                <w:szCs w:val="22"/>
              </w:rPr>
              <w:t xml:space="preserve">Legislativní omezení </w:t>
            </w:r>
          </w:p>
        </w:tc>
        <w:tc>
          <w:tcPr>
            <w:tcW w:w="1843" w:type="dxa"/>
          </w:tcPr>
          <w:p w:rsidR="00C070E3" w:rsidRPr="003E7EB8" w:rsidP="00C709C0" w14:paraId="548376C9" w14:textId="25927C8C">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iCs/>
                <w:sz w:val="22"/>
                <w:szCs w:val="22"/>
              </w:rPr>
              <w:t>N</w:t>
            </w:r>
            <w:r w:rsidRPr="003E7EB8" w:rsidR="007E429D">
              <w:rPr>
                <w:rFonts w:asciiTheme="minorHAnsi" w:hAnsiTheme="minorHAnsi" w:cstheme="minorHAnsi"/>
                <w:iCs/>
                <w:sz w:val="22"/>
                <w:szCs w:val="22"/>
              </w:rPr>
              <w:t>esplnění požadavků na změnu legislativní úpravy</w:t>
            </w:r>
          </w:p>
        </w:tc>
        <w:tc>
          <w:tcPr>
            <w:tcW w:w="851" w:type="dxa"/>
          </w:tcPr>
          <w:p w:rsidR="00C070E3" w:rsidRPr="003E7EB8" w:rsidP="00C709C0" w14:paraId="5270EFA9"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,1</w:t>
            </w:r>
          </w:p>
        </w:tc>
        <w:tc>
          <w:tcPr>
            <w:tcW w:w="992" w:type="dxa"/>
          </w:tcPr>
          <w:p w:rsidR="00C070E3" w:rsidRPr="003E7EB8" w:rsidP="00C709C0" w14:paraId="51A6FCC9"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3,1</w:t>
            </w:r>
          </w:p>
        </w:tc>
        <w:tc>
          <w:tcPr>
            <w:tcW w:w="992" w:type="dxa"/>
          </w:tcPr>
          <w:p w:rsidR="00C070E3" w:rsidRPr="003E7EB8" w:rsidP="00C709C0" w14:paraId="0E3C956C" w14:textId="5FC781AF">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9,61</w:t>
            </w:r>
          </w:p>
        </w:tc>
        <w:tc>
          <w:tcPr>
            <w:tcW w:w="1134" w:type="dxa"/>
          </w:tcPr>
          <w:p w:rsidR="00C070E3" w:rsidRPr="003E7EB8" w:rsidP="00C709C0" w14:paraId="453D0103" w14:textId="6E08289F">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Projednávání aktivit vedoucích k naplnění</w:t>
            </w:r>
          </w:p>
        </w:tc>
        <w:tc>
          <w:tcPr>
            <w:tcW w:w="1417" w:type="dxa"/>
          </w:tcPr>
          <w:p w:rsidR="00C070E3" w:rsidRPr="003E7EB8" w:rsidP="00C709C0" w14:paraId="505CB372" w14:textId="29978BCC">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406D512C"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C070E3" w:rsidRPr="003E7EB8" w:rsidP="00C709C0" w14:paraId="7B8B36DA"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Finanční náročnost</w:t>
            </w:r>
          </w:p>
        </w:tc>
        <w:tc>
          <w:tcPr>
            <w:tcW w:w="1843" w:type="dxa"/>
          </w:tcPr>
          <w:p w:rsidR="00C070E3" w:rsidRPr="003E7EB8" w:rsidP="00C709C0" w14:paraId="26C44700" w14:textId="7576A1E5">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Nedostatek </w:t>
            </w:r>
            <w:r w:rsidRPr="003E7EB8" w:rsidR="000B7CC3">
              <w:rPr>
                <w:rFonts w:asciiTheme="minorHAnsi" w:hAnsiTheme="minorHAnsi" w:cstheme="minorHAnsi"/>
                <w:bCs/>
                <w:sz w:val="22"/>
                <w:szCs w:val="22"/>
              </w:rPr>
              <w:t>finančních zdrojů na realizaci</w:t>
            </w:r>
          </w:p>
        </w:tc>
        <w:tc>
          <w:tcPr>
            <w:tcW w:w="851" w:type="dxa"/>
          </w:tcPr>
          <w:p w:rsidR="00C070E3" w:rsidRPr="003E7EB8" w:rsidP="00C709C0" w14:paraId="52E4A3F0"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,1</w:t>
            </w:r>
          </w:p>
        </w:tc>
        <w:tc>
          <w:tcPr>
            <w:tcW w:w="992" w:type="dxa"/>
          </w:tcPr>
          <w:p w:rsidR="00C070E3" w:rsidRPr="003E7EB8" w:rsidP="00C709C0" w14:paraId="28721F55"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4</w:t>
            </w:r>
            <w:r w:rsidRPr="003E7EB8" w:rsidR="002B4D54">
              <w:rPr>
                <w:rFonts w:asciiTheme="minorHAnsi" w:hAnsiTheme="minorHAnsi" w:cstheme="minorHAnsi"/>
                <w:bCs/>
                <w:sz w:val="22"/>
                <w:szCs w:val="22"/>
              </w:rPr>
              <w:t>,1</w:t>
            </w:r>
          </w:p>
        </w:tc>
        <w:tc>
          <w:tcPr>
            <w:tcW w:w="992" w:type="dxa"/>
          </w:tcPr>
          <w:p w:rsidR="00C070E3" w:rsidRPr="003E7EB8" w:rsidP="00C709C0" w14:paraId="3D28BDFF" w14:textId="1A807E01">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12,71</w:t>
            </w:r>
          </w:p>
        </w:tc>
        <w:tc>
          <w:tcPr>
            <w:tcW w:w="1134" w:type="dxa"/>
          </w:tcPr>
          <w:p w:rsidR="00C070E3" w:rsidRPr="003E7EB8" w:rsidP="00C709C0" w14:paraId="5F0DA95D" w14:textId="29F115BA">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Projednávání aktivit při přípravě programů podpory</w:t>
            </w:r>
          </w:p>
        </w:tc>
        <w:tc>
          <w:tcPr>
            <w:tcW w:w="1417" w:type="dxa"/>
          </w:tcPr>
          <w:p w:rsidR="00C070E3" w:rsidRPr="003E7EB8" w:rsidP="00C709C0" w14:paraId="2A274ACD" w14:textId="2885D432">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4AA36B8E"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C070E3" w:rsidRPr="003E7EB8" w:rsidP="00C709C0" w14:paraId="3CCFCF64" w14:textId="01912E64">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Připravenost </w:t>
            </w:r>
            <w:r w:rsidRPr="003E7EB8" w:rsidR="00F7342B">
              <w:rPr>
                <w:rFonts w:asciiTheme="minorHAnsi" w:hAnsiTheme="minorHAnsi" w:cstheme="minorHAnsi"/>
                <w:bCs/>
                <w:sz w:val="22"/>
                <w:szCs w:val="22"/>
              </w:rPr>
              <w:t xml:space="preserve">poskytovatelů zdravotních služeb a dalších organizací </w:t>
            </w:r>
            <w:r w:rsidRPr="003E7EB8" w:rsidR="001E6644">
              <w:rPr>
                <w:rFonts w:asciiTheme="minorHAnsi" w:hAnsiTheme="minorHAnsi" w:cstheme="minorHAnsi"/>
                <w:bCs/>
                <w:sz w:val="22"/>
                <w:szCs w:val="22"/>
              </w:rPr>
              <w:t>na změny související s elektronizací zdravotnictví</w:t>
            </w:r>
          </w:p>
        </w:tc>
        <w:tc>
          <w:tcPr>
            <w:tcW w:w="1843" w:type="dxa"/>
          </w:tcPr>
          <w:p w:rsidR="00C070E3" w:rsidRPr="003E7EB8" w:rsidP="00C709C0" w14:paraId="0B53F0F8"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Nepřipravenost na elektronizaci zdravotnictví</w:t>
            </w:r>
          </w:p>
        </w:tc>
        <w:tc>
          <w:tcPr>
            <w:tcW w:w="851" w:type="dxa"/>
          </w:tcPr>
          <w:p w:rsidR="00C070E3" w:rsidRPr="003E7EB8" w:rsidP="00C709C0" w14:paraId="2E501211"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2</w:t>
            </w:r>
            <w:r w:rsidRPr="003E7EB8" w:rsidR="008A78A8">
              <w:rPr>
                <w:rFonts w:asciiTheme="minorHAnsi" w:hAnsiTheme="minorHAnsi" w:cstheme="minorHAnsi"/>
                <w:bCs/>
                <w:sz w:val="22"/>
                <w:szCs w:val="22"/>
              </w:rPr>
              <w:t>,1</w:t>
            </w:r>
          </w:p>
        </w:tc>
        <w:tc>
          <w:tcPr>
            <w:tcW w:w="992" w:type="dxa"/>
          </w:tcPr>
          <w:p w:rsidR="00C070E3" w:rsidRPr="003E7EB8" w:rsidP="00C709C0" w14:paraId="50D1E3F3"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2B4D54">
              <w:rPr>
                <w:rFonts w:asciiTheme="minorHAnsi" w:hAnsiTheme="minorHAnsi" w:cstheme="minorHAnsi"/>
                <w:bCs/>
                <w:sz w:val="22"/>
                <w:szCs w:val="22"/>
              </w:rPr>
              <w:t>,0</w:t>
            </w:r>
          </w:p>
        </w:tc>
        <w:tc>
          <w:tcPr>
            <w:tcW w:w="992" w:type="dxa"/>
          </w:tcPr>
          <w:p w:rsidR="00C070E3" w:rsidRPr="003E7EB8" w:rsidP="00C709C0" w14:paraId="1F22CFF3" w14:textId="650D55ED">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6,3</w:t>
            </w:r>
          </w:p>
        </w:tc>
        <w:tc>
          <w:tcPr>
            <w:tcW w:w="1134" w:type="dxa"/>
          </w:tcPr>
          <w:p w:rsidR="00C070E3" w:rsidRPr="003E7EB8" w:rsidP="00C709C0" w14:paraId="15905B9F" w14:textId="4A0B591E">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Projednávání aktivit vedoucích k naplnění</w:t>
            </w:r>
          </w:p>
        </w:tc>
        <w:tc>
          <w:tcPr>
            <w:tcW w:w="1417" w:type="dxa"/>
          </w:tcPr>
          <w:p w:rsidR="00C070E3" w:rsidRPr="003E7EB8" w:rsidP="00C709C0" w14:paraId="5E179B08" w14:textId="3E04C779">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2DB75572"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C070E3" w:rsidRPr="003E7EB8" w:rsidP="00C709C0" w14:paraId="658CD6CE"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Odbornost zaměstnanců</w:t>
            </w:r>
          </w:p>
        </w:tc>
        <w:tc>
          <w:tcPr>
            <w:tcW w:w="1843" w:type="dxa"/>
          </w:tcPr>
          <w:p w:rsidR="00C070E3" w:rsidRPr="003E7EB8" w:rsidP="00C709C0" w14:paraId="67198941"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vysoká odborná náročnost </w:t>
            </w:r>
          </w:p>
        </w:tc>
        <w:tc>
          <w:tcPr>
            <w:tcW w:w="851" w:type="dxa"/>
          </w:tcPr>
          <w:p w:rsidR="00C070E3" w:rsidRPr="003E7EB8" w:rsidP="00C709C0" w14:paraId="59B37C72"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w:t>
            </w:r>
            <w:r w:rsidRPr="003E7EB8" w:rsidR="00B62800">
              <w:rPr>
                <w:rFonts w:asciiTheme="minorHAnsi" w:hAnsiTheme="minorHAnsi" w:cstheme="minorHAnsi"/>
                <w:bCs/>
                <w:sz w:val="22"/>
                <w:szCs w:val="22"/>
              </w:rPr>
              <w:t>0</w:t>
            </w:r>
          </w:p>
        </w:tc>
        <w:tc>
          <w:tcPr>
            <w:tcW w:w="992" w:type="dxa"/>
          </w:tcPr>
          <w:p w:rsidR="00C070E3" w:rsidRPr="003E7EB8" w:rsidP="00C709C0" w14:paraId="55BA0897"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2B4D54">
              <w:rPr>
                <w:rFonts w:asciiTheme="minorHAnsi" w:hAnsiTheme="minorHAnsi" w:cstheme="minorHAnsi"/>
                <w:bCs/>
                <w:sz w:val="22"/>
                <w:szCs w:val="22"/>
              </w:rPr>
              <w:t>,1</w:t>
            </w:r>
          </w:p>
        </w:tc>
        <w:tc>
          <w:tcPr>
            <w:tcW w:w="992" w:type="dxa"/>
          </w:tcPr>
          <w:p w:rsidR="00C070E3" w:rsidRPr="003E7EB8" w:rsidP="00C709C0" w14:paraId="5CE86744" w14:textId="7B623DE5">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9,3</w:t>
            </w:r>
          </w:p>
        </w:tc>
        <w:tc>
          <w:tcPr>
            <w:tcW w:w="1134" w:type="dxa"/>
          </w:tcPr>
          <w:p w:rsidR="00C070E3" w:rsidRPr="003E7EB8" w:rsidP="00C709C0" w14:paraId="5ACE7072" w14:textId="77777777">
            <w:pPr>
              <w:autoSpaceDE w:val="0"/>
              <w:autoSpaceDN w:val="0"/>
              <w:adjustRightInd w:val="0"/>
              <w:jc w:val="both"/>
              <w:rPr>
                <w:rFonts w:asciiTheme="minorHAnsi" w:hAnsiTheme="minorHAnsi" w:cstheme="minorHAnsi"/>
                <w:bCs/>
                <w:sz w:val="22"/>
                <w:szCs w:val="22"/>
              </w:rPr>
            </w:pPr>
          </w:p>
        </w:tc>
        <w:tc>
          <w:tcPr>
            <w:tcW w:w="1417" w:type="dxa"/>
          </w:tcPr>
          <w:p w:rsidR="00C070E3" w:rsidRPr="003E7EB8" w:rsidP="00C709C0" w14:paraId="3CBCAFF6" w14:textId="3D06F810">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r w14:paraId="5FD12D8A" w14:textId="77777777" w:rsidTr="007E429D">
        <w:tblPrEx>
          <w:tblW w:w="9399" w:type="dxa"/>
          <w:tblInd w:w="93" w:type="dxa"/>
          <w:tblLayout w:type="fixed"/>
          <w:tblCellMar>
            <w:left w:w="70" w:type="dxa"/>
            <w:right w:w="70" w:type="dxa"/>
          </w:tblCellMar>
          <w:tblLook w:val="0000"/>
        </w:tblPrEx>
        <w:trPr>
          <w:trHeight w:val="420"/>
        </w:trPr>
        <w:tc>
          <w:tcPr>
            <w:tcW w:w="2170" w:type="dxa"/>
          </w:tcPr>
          <w:p w:rsidR="00C070E3" w:rsidRPr="003E7EB8" w:rsidP="00C709C0" w14:paraId="6D55D186"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Veřejné zakázky </w:t>
            </w:r>
          </w:p>
        </w:tc>
        <w:tc>
          <w:tcPr>
            <w:tcW w:w="1843" w:type="dxa"/>
          </w:tcPr>
          <w:p w:rsidR="00C070E3" w:rsidRPr="003E7EB8" w:rsidP="00C709C0" w14:paraId="1053FD17"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 xml:space="preserve">Zadávací řízení a problematika soutěžení </w:t>
            </w:r>
          </w:p>
        </w:tc>
        <w:tc>
          <w:tcPr>
            <w:tcW w:w="851" w:type="dxa"/>
          </w:tcPr>
          <w:p w:rsidR="00C070E3" w:rsidRPr="003E7EB8" w:rsidP="00C709C0" w14:paraId="01211521"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3</w:t>
            </w:r>
            <w:r w:rsidRPr="003E7EB8" w:rsidR="008A78A8">
              <w:rPr>
                <w:rFonts w:asciiTheme="minorHAnsi" w:hAnsiTheme="minorHAnsi" w:cstheme="minorHAnsi"/>
                <w:bCs/>
                <w:sz w:val="22"/>
                <w:szCs w:val="22"/>
              </w:rPr>
              <w:t>,1</w:t>
            </w:r>
          </w:p>
        </w:tc>
        <w:tc>
          <w:tcPr>
            <w:tcW w:w="992" w:type="dxa"/>
          </w:tcPr>
          <w:p w:rsidR="00C070E3" w:rsidRPr="003E7EB8" w:rsidP="00C709C0" w14:paraId="6D34482F" w14:textId="77777777">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4</w:t>
            </w:r>
            <w:r w:rsidRPr="003E7EB8" w:rsidR="002B4D54">
              <w:rPr>
                <w:rFonts w:asciiTheme="minorHAnsi" w:hAnsiTheme="minorHAnsi" w:cstheme="minorHAnsi"/>
                <w:bCs/>
                <w:sz w:val="22"/>
                <w:szCs w:val="22"/>
              </w:rPr>
              <w:t>,1</w:t>
            </w:r>
          </w:p>
        </w:tc>
        <w:tc>
          <w:tcPr>
            <w:tcW w:w="992" w:type="dxa"/>
          </w:tcPr>
          <w:p w:rsidR="00C070E3" w:rsidRPr="003E7EB8" w:rsidP="00C709C0" w14:paraId="09C231EF" w14:textId="63527631">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12,71</w:t>
            </w:r>
          </w:p>
        </w:tc>
        <w:tc>
          <w:tcPr>
            <w:tcW w:w="1134" w:type="dxa"/>
          </w:tcPr>
          <w:p w:rsidR="00C070E3" w:rsidRPr="003E7EB8" w:rsidP="00C709C0" w14:paraId="7A024A67" w14:textId="12983DCC">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Zapojení do přípravy</w:t>
            </w:r>
          </w:p>
        </w:tc>
        <w:tc>
          <w:tcPr>
            <w:tcW w:w="1417" w:type="dxa"/>
          </w:tcPr>
          <w:p w:rsidR="00C070E3" w:rsidRPr="003E7EB8" w:rsidP="00C709C0" w14:paraId="44ED548B" w14:textId="495E4191">
            <w:pPr>
              <w:autoSpaceDE w:val="0"/>
              <w:autoSpaceDN w:val="0"/>
              <w:adjustRightInd w:val="0"/>
              <w:jc w:val="both"/>
              <w:rPr>
                <w:rFonts w:asciiTheme="minorHAnsi" w:hAnsiTheme="minorHAnsi" w:cstheme="minorHAnsi"/>
                <w:bCs/>
                <w:sz w:val="22"/>
                <w:szCs w:val="22"/>
              </w:rPr>
            </w:pPr>
            <w:r w:rsidRPr="003E7EB8">
              <w:rPr>
                <w:rFonts w:asciiTheme="minorHAnsi" w:hAnsiTheme="minorHAnsi" w:cstheme="minorHAnsi"/>
                <w:bCs/>
                <w:sz w:val="22"/>
                <w:szCs w:val="22"/>
              </w:rPr>
              <w:t>MZD</w:t>
            </w:r>
          </w:p>
        </w:tc>
      </w:tr>
    </w:tbl>
    <w:p w:rsidR="00A0293E" w:rsidRPr="00C24606" w:rsidP="00C709C0" w14:paraId="05CB4868" w14:textId="7393B222">
      <w:pPr>
        <w:pStyle w:val="FootnoteText"/>
        <w:jc w:val="both"/>
        <w:rPr>
          <w:rFonts w:asciiTheme="minorHAnsi" w:hAnsiTheme="minorHAnsi" w:cstheme="minorHAnsi"/>
          <w:sz w:val="18"/>
        </w:rPr>
      </w:pPr>
      <w:r w:rsidRPr="00C24606">
        <w:rPr>
          <w:rFonts w:asciiTheme="minorHAnsi" w:hAnsiTheme="minorHAnsi" w:cstheme="minorHAnsi"/>
        </w:rPr>
        <w:t xml:space="preserve">Tab. č. </w:t>
      </w:r>
      <w:r>
        <w:rPr>
          <w:rFonts w:asciiTheme="minorHAnsi" w:hAnsiTheme="minorHAnsi" w:cstheme="minorHAnsi"/>
        </w:rPr>
        <w:t>5</w:t>
      </w:r>
      <w:r w:rsidRPr="00C24606">
        <w:rPr>
          <w:rFonts w:asciiTheme="minorHAnsi" w:hAnsiTheme="minorHAnsi" w:cstheme="minorHAnsi"/>
        </w:rPr>
        <w:t>: Registr rizik ke dni schválení IP</w:t>
      </w:r>
    </w:p>
    <w:p w:rsidR="00252D2C" w:rsidP="00C709C0" w14:paraId="5C479A20" w14:textId="00610EA3">
      <w:pPr>
        <w:autoSpaceDE w:val="0"/>
        <w:autoSpaceDN w:val="0"/>
        <w:adjustRightInd w:val="0"/>
        <w:jc w:val="both"/>
        <w:rPr>
          <w:rFonts w:asciiTheme="minorHAnsi" w:hAnsiTheme="minorHAnsi" w:cstheme="minorHAnsi"/>
        </w:rPr>
      </w:pPr>
      <w:r>
        <w:rPr>
          <w:rFonts w:asciiTheme="minorHAnsi" w:hAnsiTheme="minorHAnsi" w:cstheme="minorHAnsi"/>
        </w:rPr>
        <w:br w:type="page"/>
      </w:r>
    </w:p>
    <w:p w:rsidR="00305124" w:rsidRPr="00C24606" w:rsidP="00C709C0" w14:paraId="41F0A733" w14:textId="77777777">
      <w:pPr>
        <w:pStyle w:val="Heading1"/>
        <w:numPr>
          <w:ilvl w:val="0"/>
          <w:numId w:val="13"/>
        </w:numPr>
        <w:jc w:val="both"/>
        <w:rPr>
          <w:rFonts w:cstheme="minorHAnsi"/>
        </w:rPr>
      </w:pPr>
      <w:bookmarkStart w:id="256" w:name="_Toc256000013"/>
      <w:r w:rsidRPr="00C24606">
        <w:rPr>
          <w:rFonts w:cstheme="minorHAnsi"/>
        </w:rPr>
        <w:t>Řízení změn</w:t>
      </w:r>
      <w:bookmarkEnd w:id="256"/>
      <w:r w:rsidRPr="00C24606">
        <w:rPr>
          <w:rFonts w:cstheme="minorHAnsi"/>
        </w:rPr>
        <w:t xml:space="preserve"> </w:t>
      </w:r>
    </w:p>
    <w:p w:rsidR="00696B0E" w:rsidRPr="00C24606" w:rsidP="00C709C0" w14:paraId="484B26BE" w14:textId="77777777">
      <w:pPr>
        <w:autoSpaceDE w:val="0"/>
        <w:autoSpaceDN w:val="0"/>
        <w:adjustRightInd w:val="0"/>
        <w:jc w:val="both"/>
        <w:rPr>
          <w:rFonts w:asciiTheme="minorHAnsi" w:hAnsiTheme="minorHAnsi" w:cstheme="minorHAnsi"/>
          <w:b/>
        </w:rPr>
      </w:pPr>
    </w:p>
    <w:p w:rsidR="003E7EB8" w:rsidRPr="002A4057" w:rsidP="003E7EB8" w14:paraId="6FAFD1F1"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3E7EB8" w:rsidRPr="002A4057" w:rsidP="003E7EB8" w14:paraId="4715EECE" w14:textId="77777777">
      <w:pPr>
        <w:jc w:val="both"/>
        <w:rPr>
          <w:rFonts w:asciiTheme="minorHAnsi" w:hAnsiTheme="minorHAnsi" w:cstheme="minorHAnsi"/>
        </w:rPr>
      </w:pPr>
    </w:p>
    <w:p w:rsidR="003E7EB8" w:rsidRPr="002A4057" w:rsidP="003E7EB8" w14:paraId="2F77302D"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3E7EB8" w:rsidRPr="002A4057" w:rsidP="003E7EB8" w14:paraId="0A7FF1F0" w14:textId="77777777">
      <w:pPr>
        <w:pStyle w:val="ListParagraph"/>
        <w:ind w:left="360"/>
        <w:jc w:val="both"/>
        <w:rPr>
          <w:rFonts w:asciiTheme="minorHAnsi" w:hAnsiTheme="minorHAnsi" w:cs="Arial"/>
          <w:color w:val="000000" w:themeColor="text1"/>
        </w:rPr>
      </w:pPr>
    </w:p>
    <w:p w:rsidR="003E7EB8" w:rsidP="003E7EB8" w14:paraId="69713184"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BA76A7" w:rsidRPr="00C24606" w:rsidP="00C709C0" w14:paraId="73B9EFCE" w14:textId="77777777">
      <w:pPr>
        <w:jc w:val="both"/>
        <w:rPr>
          <w:rFonts w:asciiTheme="minorHAnsi" w:hAnsiTheme="minorHAnsi" w:cstheme="minorHAnsi"/>
          <w:b/>
        </w:rPr>
      </w:pPr>
      <w:r w:rsidRPr="00C24606">
        <w:rPr>
          <w:rFonts w:asciiTheme="minorHAnsi" w:hAnsiTheme="minorHAnsi" w:cstheme="minorHAnsi"/>
          <w:b/>
        </w:rPr>
        <w:br w:type="page"/>
      </w:r>
    </w:p>
    <w:p w:rsidR="00796CA8" w:rsidRPr="00C24606" w:rsidP="00C709C0" w14:paraId="6FDE62EF" w14:textId="77777777">
      <w:pPr>
        <w:pStyle w:val="Heading1"/>
        <w:numPr>
          <w:ilvl w:val="0"/>
          <w:numId w:val="13"/>
        </w:numPr>
        <w:jc w:val="both"/>
        <w:rPr>
          <w:rFonts w:cstheme="minorHAnsi"/>
        </w:rPr>
      </w:pPr>
      <w:bookmarkStart w:id="257" w:name="_Toc256000014"/>
      <w:r w:rsidRPr="00C24606">
        <w:rPr>
          <w:rFonts w:cstheme="minorHAnsi"/>
        </w:rPr>
        <w:t xml:space="preserve">Monitorování a </w:t>
      </w:r>
      <w:r w:rsidRPr="00C24606" w:rsidR="00F20902">
        <w:rPr>
          <w:rFonts w:cstheme="minorHAnsi"/>
        </w:rPr>
        <w:t>evaluace</w:t>
      </w:r>
      <w:bookmarkEnd w:id="257"/>
    </w:p>
    <w:p w:rsidR="00796CA8" w:rsidRPr="00C24606" w:rsidP="00C709C0" w14:paraId="4186512D" w14:textId="77777777">
      <w:pPr>
        <w:jc w:val="both"/>
        <w:rPr>
          <w:rFonts w:asciiTheme="minorHAnsi" w:hAnsiTheme="minorHAnsi" w:cstheme="minorHAnsi"/>
        </w:rPr>
      </w:pPr>
    </w:p>
    <w:p w:rsidR="003E7EB8" w:rsidRPr="002E2404" w:rsidP="003E7EB8" w14:paraId="06256C17"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3E7EB8" w:rsidRPr="002E2404" w:rsidP="003E7EB8" w14:paraId="64B052C5" w14:textId="77777777">
      <w:pPr>
        <w:jc w:val="both"/>
        <w:rPr>
          <w:rFonts w:asciiTheme="minorHAnsi" w:hAnsiTheme="minorHAnsi" w:cs="Arial"/>
          <w:color w:val="000000" w:themeColor="text1"/>
        </w:rPr>
      </w:pPr>
    </w:p>
    <w:p w:rsidR="003E7EB8" w:rsidRPr="002E2404" w:rsidP="003E7EB8" w14:paraId="5B64340B"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8"/>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3E7EB8" w:rsidRPr="002E2404" w:rsidP="003E7EB8" w14:paraId="21B19402" w14:textId="77777777">
      <w:pPr>
        <w:jc w:val="both"/>
        <w:rPr>
          <w:rFonts w:ascii="Arial" w:hAnsi="Arial" w:cs="Arial"/>
          <w:color w:val="000000" w:themeColor="text1"/>
        </w:rPr>
      </w:pPr>
    </w:p>
    <w:p w:rsidR="003E7EB8" w:rsidRPr="002E2404" w:rsidP="003E7EB8" w14:paraId="3487C76D"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3E7EB8" w:rsidRPr="002E2404" w:rsidP="003E7EB8" w14:paraId="57FA6B00"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3E7EB8" w:rsidRPr="002E2404" w:rsidP="003E7EB8" w14:paraId="3CE7C700"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3E7EB8" w:rsidRPr="002E2404" w:rsidP="003E7EB8" w14:paraId="22CA2956" w14:textId="77777777">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3E7EB8" w:rsidRPr="00F53BC5" w:rsidP="003E7EB8" w14:paraId="40A09605" w14:textId="77777777">
      <w:pPr>
        <w:ind w:left="360"/>
        <w:jc w:val="both"/>
        <w:rPr>
          <w:rFonts w:ascii="Arial" w:hAnsi="Arial" w:cs="Arial"/>
          <w:color w:val="000000" w:themeColor="text1"/>
        </w:rPr>
      </w:pPr>
    </w:p>
    <w:p w:rsidR="003E7EB8" w:rsidP="003E7EB8" w14:paraId="18415D5E" w14:textId="3A1C11A0">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58"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D747B8">
        <w:rPr>
          <w:rFonts w:asciiTheme="minorHAnsi" w:hAnsiTheme="minorHAnsi" w:cs="Arial"/>
        </w:rPr>
        <w:t>3</w:t>
      </w:r>
      <w:r>
        <w:rPr>
          <w:rFonts w:asciiTheme="minorHAnsi" w:hAnsiTheme="minorHAnsi" w:cs="Arial"/>
        </w:rPr>
        <w:t xml:space="preserve">6. </w:t>
      </w:r>
      <w:bookmarkEnd w:id="258"/>
      <w:r w:rsidRPr="002E2404">
        <w:rPr>
          <w:rFonts w:asciiTheme="minorHAnsi" w:hAnsiTheme="minorHAnsi" w:cs="Arial"/>
          <w:color w:val="000000" w:themeColor="text1"/>
        </w:rPr>
        <w:t xml:space="preserve">  </w:t>
      </w:r>
    </w:p>
    <w:p w:rsidR="003E7EB8" w:rsidRPr="002E2404" w:rsidP="003E7EB8" w14:paraId="1EA7A270" w14:textId="77777777">
      <w:pPr>
        <w:jc w:val="both"/>
        <w:rPr>
          <w:rFonts w:asciiTheme="minorHAnsi" w:hAnsiTheme="minorHAnsi" w:cs="Arial"/>
          <w:color w:val="000000" w:themeColor="text1"/>
        </w:rPr>
      </w:pPr>
    </w:p>
    <w:p w:rsidR="008E366A" w:rsidRPr="00C24606" w:rsidP="00C709C0" w14:paraId="3FFF1087" w14:textId="632DCD7E">
      <w:p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V případě digitalizace zdravotnictví </w:t>
      </w:r>
      <w:r w:rsidRPr="00C24606" w:rsidR="003F13EA">
        <w:rPr>
          <w:rFonts w:asciiTheme="minorHAnsi" w:hAnsiTheme="minorHAnsi" w:cstheme="minorHAnsi"/>
        </w:rPr>
        <w:t>budou principy monitorování a hodnocení vycházet</w:t>
      </w:r>
      <w:r w:rsidRPr="00C24606" w:rsidR="000C1042">
        <w:rPr>
          <w:rFonts w:asciiTheme="minorHAnsi" w:hAnsiTheme="minorHAnsi" w:cstheme="minorHAnsi"/>
        </w:rPr>
        <w:t xml:space="preserve"> také</w:t>
      </w:r>
      <w:r w:rsidRPr="00C24606" w:rsidR="003F13EA">
        <w:rPr>
          <w:rFonts w:asciiTheme="minorHAnsi" w:hAnsiTheme="minorHAnsi" w:cstheme="minorHAnsi"/>
        </w:rPr>
        <w:t xml:space="preserve"> z přijaté Metodiky pro monitorování a hodnocení elektronického zdravotnictví</w:t>
      </w:r>
      <w:r w:rsidRPr="00C24606" w:rsidR="00E71B6F">
        <w:rPr>
          <w:rFonts w:asciiTheme="minorHAnsi" w:hAnsiTheme="minorHAnsi" w:cstheme="minorHAnsi"/>
        </w:rPr>
        <w:t>.</w:t>
      </w:r>
    </w:p>
    <w:p w:rsidR="00FA5CDA" w:rsidP="00C709C0" w14:paraId="41005F3D" w14:textId="31D8D75B">
      <w:pPr>
        <w:jc w:val="both"/>
        <w:rPr>
          <w:rFonts w:asciiTheme="minorHAnsi" w:hAnsiTheme="minorHAnsi" w:cstheme="minorHAnsi"/>
          <w:highlight w:val="cyan"/>
        </w:rPr>
      </w:pPr>
    </w:p>
    <w:p w:rsidR="003A6008" w:rsidP="00C709C0" w14:paraId="66CA9B7E" w14:textId="37AEECD3">
      <w:pPr>
        <w:jc w:val="both"/>
        <w:rPr>
          <w:rFonts w:asciiTheme="minorHAnsi" w:hAnsiTheme="minorHAnsi" w:cstheme="minorHAnsi"/>
          <w:highlight w:val="cyan"/>
        </w:rPr>
      </w:pPr>
    </w:p>
    <w:p w:rsidR="003A6008" w:rsidRPr="00C24606" w:rsidP="00C709C0" w14:paraId="4CC03D2F" w14:textId="77777777">
      <w:pPr>
        <w:jc w:val="both"/>
        <w:rPr>
          <w:rFonts w:asciiTheme="minorHAnsi" w:hAnsiTheme="minorHAnsi" w:cstheme="minorHAnsi"/>
          <w:highlight w:val="cyan"/>
        </w:rPr>
      </w:pPr>
    </w:p>
    <w:p w:rsidR="00427963" w:rsidRPr="00C24606" w:rsidP="00C709C0" w14:paraId="465290F5" w14:textId="77777777">
      <w:pPr>
        <w:pStyle w:val="Heading1"/>
        <w:numPr>
          <w:ilvl w:val="0"/>
          <w:numId w:val="13"/>
        </w:numPr>
        <w:jc w:val="both"/>
        <w:rPr>
          <w:rFonts w:cstheme="minorHAnsi"/>
        </w:rPr>
      </w:pPr>
      <w:bookmarkStart w:id="259" w:name="_Toc256000015"/>
      <w:r w:rsidRPr="00C24606">
        <w:rPr>
          <w:rFonts w:cstheme="minorHAnsi"/>
        </w:rPr>
        <w:t>Komunikační plán</w:t>
      </w:r>
      <w:bookmarkEnd w:id="259"/>
    </w:p>
    <w:p w:rsidR="00FA5CDA" w:rsidRPr="00C24606" w:rsidP="00C709C0" w14:paraId="688FF320" w14:textId="77777777">
      <w:pPr>
        <w:jc w:val="both"/>
        <w:rPr>
          <w:rFonts w:asciiTheme="minorHAnsi" w:hAnsiTheme="minorHAnsi" w:cstheme="minorHAnsi"/>
        </w:rPr>
      </w:pPr>
    </w:p>
    <w:p w:rsidR="003E7EB8" w:rsidRPr="002E2404" w:rsidP="003E7EB8" w14:paraId="5CA2FFDF" w14:textId="77777777">
      <w:pPr>
        <w:jc w:val="both"/>
        <w:rPr>
          <w:rFonts w:asciiTheme="minorHAnsi" w:hAnsiTheme="minorHAnsi" w:cs="Arial"/>
          <w:color w:val="000000" w:themeColor="text1"/>
        </w:rPr>
      </w:pPr>
      <w:r w:rsidRPr="002E2404">
        <w:rPr>
          <w:rFonts w:asciiTheme="minorHAnsi" w:hAnsiTheme="minorHAnsi" w:cs="Arial"/>
          <w:color w:val="000000" w:themeColor="text1"/>
        </w:rPr>
        <w:t>Komunikační plán implementačního plánu vychází z Komunikační strategie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3E7EB8" w:rsidRPr="002E2404" w:rsidP="003E7EB8" w14:paraId="743EE6A6" w14:textId="77777777">
      <w:pPr>
        <w:jc w:val="both"/>
        <w:rPr>
          <w:rFonts w:asciiTheme="minorHAnsi" w:hAnsiTheme="minorHAnsi" w:cs="Arial"/>
          <w:color w:val="000000" w:themeColor="text1"/>
        </w:rPr>
      </w:pPr>
    </w:p>
    <w:p w:rsidR="003E7EB8" w:rsidRPr="002E2404" w:rsidP="003E7EB8" w14:paraId="2C2369F0"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3E7EB8" w:rsidRPr="002E2404" w:rsidP="003E7EB8" w14:paraId="65A3EAEF" w14:textId="77777777">
      <w:pPr>
        <w:jc w:val="both"/>
        <w:rPr>
          <w:rFonts w:asciiTheme="minorHAnsi" w:hAnsiTheme="minorHAnsi" w:cs="Arial"/>
          <w:color w:val="000000" w:themeColor="text1"/>
        </w:rPr>
      </w:pPr>
    </w:p>
    <w:p w:rsidR="003E7EB8" w:rsidRPr="002E2404" w:rsidP="003E7EB8" w14:paraId="5C78CF5B"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3E7EB8" w:rsidRPr="002E2404" w:rsidP="003E7EB8" w14:paraId="21B7AB8E" w14:textId="77777777">
      <w:pPr>
        <w:jc w:val="both"/>
        <w:rPr>
          <w:rFonts w:asciiTheme="minorHAnsi" w:hAnsiTheme="minorHAnsi" w:cs="Arial"/>
          <w:color w:val="000000" w:themeColor="text1"/>
        </w:rPr>
      </w:pPr>
    </w:p>
    <w:p w:rsidR="003E7EB8" w:rsidRPr="002E2404" w:rsidP="003E7EB8" w14:paraId="1E3D23BB"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7C0CEE" w:rsidP="00C709C0" w14:paraId="7C22FAF7" w14:textId="77777777">
      <w:pPr>
        <w:autoSpaceDE w:val="0"/>
        <w:autoSpaceDN w:val="0"/>
        <w:adjustRightInd w:val="0"/>
        <w:jc w:val="both"/>
        <w:rPr>
          <w:rFonts w:asciiTheme="minorHAnsi" w:hAnsiTheme="minorHAnsi" w:cstheme="minorHAnsi"/>
        </w:rPr>
      </w:pPr>
    </w:p>
    <w:p w:rsidR="00C67075" w:rsidRPr="00C24606" w:rsidP="00C709C0" w14:paraId="5334E26C" w14:textId="36DDF594">
      <w:p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Cílovými skupinami komunikace </w:t>
      </w:r>
      <w:r w:rsidRPr="00C24606" w:rsidR="00645FEE">
        <w:rPr>
          <w:rFonts w:asciiTheme="minorHAnsi" w:hAnsiTheme="minorHAnsi" w:cstheme="minorHAnsi"/>
        </w:rPr>
        <w:t xml:space="preserve">IP </w:t>
      </w:r>
      <w:r w:rsidRPr="00C24606">
        <w:rPr>
          <w:rFonts w:asciiTheme="minorHAnsi" w:hAnsiTheme="minorHAnsi" w:cstheme="minorHAnsi"/>
        </w:rPr>
        <w:t>jsou zejména:</w:t>
      </w:r>
    </w:p>
    <w:p w:rsidR="00C67075" w:rsidRPr="00C24606" w:rsidP="00C709C0" w14:paraId="2EDF20AD"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jednotlivé rezorty a další ústřední orgány státní správy,</w:t>
      </w:r>
    </w:p>
    <w:p w:rsidR="00C12F4C" w:rsidRPr="00C24606" w:rsidP="00C709C0" w14:paraId="40F565B6" w14:textId="35EDD7F6">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organizace podřízen</w:t>
      </w:r>
      <w:r w:rsidRPr="00C24606" w:rsidR="00645FEE">
        <w:rPr>
          <w:rFonts w:asciiTheme="minorHAnsi" w:hAnsiTheme="minorHAnsi" w:cstheme="minorHAnsi"/>
        </w:rPr>
        <w:t>é</w:t>
      </w:r>
      <w:r w:rsidRPr="00C24606">
        <w:rPr>
          <w:rFonts w:asciiTheme="minorHAnsi" w:hAnsiTheme="minorHAnsi" w:cstheme="minorHAnsi"/>
        </w:rPr>
        <w:t xml:space="preserve"> </w:t>
      </w:r>
      <w:r w:rsidR="008C6210">
        <w:rPr>
          <w:rFonts w:asciiTheme="minorHAnsi" w:hAnsiTheme="minorHAnsi" w:cstheme="minorHAnsi"/>
        </w:rPr>
        <w:t>MZD</w:t>
      </w:r>
      <w:r w:rsidRPr="00C24606">
        <w:rPr>
          <w:rFonts w:asciiTheme="minorHAnsi" w:hAnsiTheme="minorHAnsi" w:cstheme="minorHAnsi"/>
        </w:rPr>
        <w:t>,</w:t>
      </w:r>
    </w:p>
    <w:p w:rsidR="00645FEE" w:rsidRPr="00C24606" w:rsidP="00C709C0" w14:paraId="214BE14B" w14:textId="34A799DC">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pracovníci </w:t>
      </w:r>
      <w:r w:rsidR="008C6210">
        <w:rPr>
          <w:rFonts w:asciiTheme="minorHAnsi" w:hAnsiTheme="minorHAnsi" w:cstheme="minorHAnsi"/>
        </w:rPr>
        <w:t>MZD</w:t>
      </w:r>
      <w:r w:rsidRPr="00C24606">
        <w:rPr>
          <w:rFonts w:asciiTheme="minorHAnsi" w:hAnsiTheme="minorHAnsi" w:cstheme="minorHAnsi"/>
        </w:rPr>
        <w:t>,</w:t>
      </w:r>
    </w:p>
    <w:p w:rsidR="00C67075" w:rsidRPr="00C24606" w:rsidP="00C709C0" w14:paraId="770EBC7B"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územní samosprávné celky,</w:t>
      </w:r>
    </w:p>
    <w:p w:rsidR="00C67075" w:rsidRPr="00C24606" w:rsidP="00C709C0" w14:paraId="0B61AA68"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parlament,</w:t>
      </w:r>
    </w:p>
    <w:p w:rsidR="00C67075" w:rsidRPr="00C24606" w:rsidP="00C709C0" w14:paraId="3CD304AA"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profesní komory</w:t>
      </w:r>
      <w:r w:rsidRPr="00C24606" w:rsidR="00645FEE">
        <w:rPr>
          <w:rFonts w:asciiTheme="minorHAnsi" w:hAnsiTheme="minorHAnsi" w:cstheme="minorHAnsi"/>
        </w:rPr>
        <w:t>,</w:t>
      </w:r>
    </w:p>
    <w:p w:rsidR="00C67075" w:rsidRPr="00C24606" w:rsidP="00C709C0" w14:paraId="0666C008"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zdravotní pojišťovny</w:t>
      </w:r>
      <w:r w:rsidRPr="00C24606" w:rsidR="00645FEE">
        <w:rPr>
          <w:rFonts w:asciiTheme="minorHAnsi" w:hAnsiTheme="minorHAnsi" w:cstheme="minorHAnsi"/>
        </w:rPr>
        <w:t>,</w:t>
      </w:r>
    </w:p>
    <w:p w:rsidR="00645FEE" w:rsidRPr="00C24606" w:rsidP="00C709C0" w14:paraId="2EE1B751"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zájmová sdružen</w:t>
      </w:r>
      <w:r w:rsidRPr="00C24606">
        <w:rPr>
          <w:rFonts w:asciiTheme="minorHAnsi" w:hAnsiTheme="minorHAnsi" w:cstheme="minorHAnsi"/>
        </w:rPr>
        <w:t>í,</w:t>
      </w:r>
    </w:p>
    <w:p w:rsidR="00C67075" w:rsidRPr="00C24606" w:rsidP="00C709C0" w14:paraId="2442720C"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neziskové organizace</w:t>
      </w:r>
      <w:r w:rsidRPr="00C24606" w:rsidR="00645FEE">
        <w:rPr>
          <w:rFonts w:asciiTheme="minorHAnsi" w:hAnsiTheme="minorHAnsi" w:cstheme="minorHAnsi"/>
        </w:rPr>
        <w:t>,</w:t>
      </w:r>
    </w:p>
    <w:p w:rsidR="00C67075" w:rsidP="00C709C0" w14:paraId="241E051C" w14:textId="26A9A475">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odborná i laická veřejnost,</w:t>
      </w:r>
    </w:p>
    <w:p w:rsidR="00747EA5" w:rsidRPr="00C24606" w:rsidP="00C709C0" w14:paraId="5516E0B0" w14:textId="513F0866">
      <w:pPr>
        <w:pStyle w:val="ListParagraph"/>
        <w:numPr>
          <w:ilvl w:val="0"/>
          <w:numId w:val="8"/>
        </w:numPr>
        <w:autoSpaceDE w:val="0"/>
        <w:autoSpaceDN w:val="0"/>
        <w:adjustRightInd w:val="0"/>
        <w:jc w:val="both"/>
        <w:rPr>
          <w:rFonts w:asciiTheme="minorHAnsi" w:hAnsiTheme="minorHAnsi" w:cstheme="minorHAnsi"/>
        </w:rPr>
      </w:pPr>
      <w:r>
        <w:rPr>
          <w:rFonts w:asciiTheme="minorHAnsi" w:hAnsiTheme="minorHAnsi" w:cstheme="minorHAnsi"/>
        </w:rPr>
        <w:t>pacienti,</w:t>
      </w:r>
    </w:p>
    <w:p w:rsidR="00C67075" w:rsidRPr="00C24606" w:rsidP="00C709C0" w14:paraId="2EB6D957" w14:textId="77777777">
      <w:pPr>
        <w:pStyle w:val="ListParagraph"/>
        <w:numPr>
          <w:ilvl w:val="0"/>
          <w:numId w:val="8"/>
        </w:numPr>
        <w:autoSpaceDE w:val="0"/>
        <w:autoSpaceDN w:val="0"/>
        <w:adjustRightInd w:val="0"/>
        <w:jc w:val="both"/>
        <w:rPr>
          <w:rFonts w:asciiTheme="minorHAnsi" w:hAnsiTheme="minorHAnsi" w:cstheme="minorHAnsi"/>
        </w:rPr>
      </w:pPr>
      <w:r w:rsidRPr="00C24606">
        <w:rPr>
          <w:rFonts w:asciiTheme="minorHAnsi" w:hAnsiTheme="minorHAnsi" w:cstheme="minorHAnsi"/>
        </w:rPr>
        <w:t>Evropská komise.</w:t>
      </w:r>
    </w:p>
    <w:p w:rsidR="007C0CEE" w:rsidP="00C709C0" w14:paraId="37467579" w14:textId="77777777">
      <w:pPr>
        <w:autoSpaceDE w:val="0"/>
        <w:autoSpaceDN w:val="0"/>
        <w:adjustRightInd w:val="0"/>
        <w:jc w:val="both"/>
        <w:rPr>
          <w:rFonts w:asciiTheme="minorHAnsi" w:hAnsiTheme="minorHAnsi" w:cstheme="minorHAnsi"/>
        </w:rPr>
      </w:pPr>
    </w:p>
    <w:p w:rsidR="00C67075" w:rsidRPr="00C24606" w:rsidP="00C709C0" w14:paraId="5D560696" w14:textId="6435372A">
      <w:p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Obsah komunikace je zaměřen především na prezentaci implementačního plánu, jeho dílčích cílů a opatření uvedeným cílovým skupinám. Primárním nástrojem šíření informací bude web </w:t>
      </w:r>
      <w:r w:rsidR="008C6210">
        <w:rPr>
          <w:rFonts w:asciiTheme="minorHAnsi" w:hAnsiTheme="minorHAnsi" w:cstheme="minorHAnsi"/>
        </w:rPr>
        <w:t>MZD</w:t>
      </w:r>
      <w:r w:rsidR="00C44756">
        <w:rPr>
          <w:rFonts w:asciiTheme="minorHAnsi" w:hAnsiTheme="minorHAnsi" w:cstheme="minorHAnsi"/>
        </w:rPr>
        <w:t xml:space="preserve">, </w:t>
      </w:r>
      <w:r w:rsidR="00C44756">
        <w:rPr>
          <w:rFonts w:asciiTheme="minorHAnsi" w:hAnsiTheme="minorHAnsi" w:cs="Arial"/>
        </w:rPr>
        <w:t>web Národní</w:t>
      </w:r>
      <w:r w:rsidR="00D01070">
        <w:rPr>
          <w:rFonts w:asciiTheme="minorHAnsi" w:hAnsiTheme="minorHAnsi" w:cs="Arial"/>
        </w:rPr>
        <w:t xml:space="preserve">ho </w:t>
      </w:r>
      <w:r w:rsidR="00C86CA9">
        <w:rPr>
          <w:rFonts w:asciiTheme="minorHAnsi" w:hAnsiTheme="minorHAnsi" w:cs="Arial"/>
        </w:rPr>
        <w:t>c</w:t>
      </w:r>
      <w:r w:rsidR="00D01070">
        <w:rPr>
          <w:rFonts w:asciiTheme="minorHAnsi" w:hAnsiTheme="minorHAnsi" w:cs="Arial"/>
        </w:rPr>
        <w:t>entra</w:t>
      </w:r>
      <w:r w:rsidR="00C44756">
        <w:rPr>
          <w:rFonts w:asciiTheme="minorHAnsi" w:hAnsiTheme="minorHAnsi" w:cs="Arial"/>
        </w:rPr>
        <w:t xml:space="preserve"> elektronického zdravotnictví (</w:t>
      </w:r>
      <w:hyperlink r:id="rId20" w:history="1">
        <w:r w:rsidRPr="005E25F8" w:rsidR="003638D8">
          <w:rPr>
            <w:rStyle w:val="Hyperlink"/>
            <w:rFonts w:asciiTheme="minorHAnsi" w:hAnsiTheme="minorHAnsi" w:cs="Arial"/>
          </w:rPr>
          <w:t>www.ncez.mzcr.cz</w:t>
        </w:r>
      </w:hyperlink>
      <w:r w:rsidR="00AD0BF9">
        <w:rPr>
          <w:rStyle w:val="Hyperlink"/>
          <w:rFonts w:asciiTheme="minorHAnsi" w:hAnsiTheme="minorHAnsi" w:cs="Arial"/>
        </w:rPr>
        <w:t>;</w:t>
      </w:r>
      <w:r w:rsidRPr="00AD0BF9" w:rsidR="00AD0BF9">
        <w:t xml:space="preserve"> </w:t>
      </w:r>
      <w:r w:rsidRPr="00AD0BF9" w:rsidR="00AD0BF9">
        <w:rPr>
          <w:rStyle w:val="Hyperlink"/>
          <w:rFonts w:asciiTheme="minorHAnsi" w:hAnsiTheme="minorHAnsi" w:cs="Arial"/>
        </w:rPr>
        <w:t>www.nsez.cz</w:t>
      </w:r>
      <w:r w:rsidR="003638D8">
        <w:rPr>
          <w:rFonts w:asciiTheme="minorHAnsi" w:hAnsiTheme="minorHAnsi" w:cs="Arial"/>
        </w:rPr>
        <w:t xml:space="preserve">) </w:t>
      </w:r>
      <w:r w:rsidRPr="00C24606">
        <w:rPr>
          <w:rFonts w:asciiTheme="minorHAnsi" w:hAnsiTheme="minorHAnsi" w:cstheme="minorHAnsi"/>
        </w:rPr>
        <w:t xml:space="preserve">a sociální sítě, které budou doplňovat případné letákové kampaně, tištěné brožury či tiskové konference k významným událostem v rámci jednotlivých aktivit, případně informační semináře pro poskytovatele zdravotních služeb a dotčené subjekty. Strategický rámec Zdraví </w:t>
      </w:r>
      <w:r w:rsidRPr="00C24606" w:rsidR="00BE4D73">
        <w:rPr>
          <w:rFonts w:asciiTheme="minorHAnsi" w:hAnsiTheme="minorHAnsi" w:cstheme="minorHAnsi"/>
        </w:rPr>
        <w:t>203</w:t>
      </w:r>
      <w:r w:rsidR="00BE4D73">
        <w:rPr>
          <w:rFonts w:asciiTheme="minorHAnsi" w:hAnsiTheme="minorHAnsi" w:cstheme="minorHAnsi"/>
        </w:rPr>
        <w:t>5</w:t>
      </w:r>
      <w:r w:rsidRPr="00C24606" w:rsidR="00BE4D73">
        <w:rPr>
          <w:rFonts w:asciiTheme="minorHAnsi" w:hAnsiTheme="minorHAnsi" w:cstheme="minorHAnsi"/>
        </w:rPr>
        <w:t xml:space="preserve"> </w:t>
      </w:r>
      <w:r w:rsidRPr="00C24606">
        <w:rPr>
          <w:rFonts w:asciiTheme="minorHAnsi" w:hAnsiTheme="minorHAnsi" w:cstheme="minorHAnsi"/>
        </w:rPr>
        <w:t xml:space="preserve">a jeho implementační plány budou také pravidelně prezentovány na veřejných akcích pořádaných </w:t>
      </w:r>
      <w:r w:rsidR="008C6210">
        <w:rPr>
          <w:rFonts w:asciiTheme="minorHAnsi" w:hAnsiTheme="minorHAnsi" w:cstheme="minorHAnsi"/>
        </w:rPr>
        <w:t>MZD</w:t>
      </w:r>
      <w:r w:rsidRPr="00C24606">
        <w:rPr>
          <w:rFonts w:asciiTheme="minorHAnsi" w:hAnsiTheme="minorHAnsi" w:cstheme="minorHAnsi"/>
        </w:rPr>
        <w:t>, jako je např. Den zdraví.</w:t>
      </w:r>
    </w:p>
    <w:p w:rsidR="00B70D43" w:rsidP="00C709C0" w14:paraId="7BA1BA10" w14:textId="6FB5DB04">
      <w:pPr>
        <w:autoSpaceDE w:val="0"/>
        <w:autoSpaceDN w:val="0"/>
        <w:adjustRightInd w:val="0"/>
        <w:jc w:val="both"/>
        <w:rPr>
          <w:rFonts w:asciiTheme="minorHAnsi" w:hAnsiTheme="minorHAnsi" w:cstheme="minorHAnsi"/>
        </w:rPr>
      </w:pPr>
      <w:r w:rsidRPr="00C24606">
        <w:rPr>
          <w:rFonts w:asciiTheme="minorHAnsi" w:hAnsiTheme="minorHAnsi" w:cstheme="minorHAnsi"/>
        </w:rPr>
        <w:t>Kom</w:t>
      </w:r>
      <w:r w:rsidRPr="00C24606" w:rsidR="00816986">
        <w:rPr>
          <w:rFonts w:asciiTheme="minorHAnsi" w:hAnsiTheme="minorHAnsi" w:cstheme="minorHAnsi"/>
        </w:rPr>
        <w:t>u</w:t>
      </w:r>
      <w:r w:rsidRPr="00C24606">
        <w:rPr>
          <w:rFonts w:asciiTheme="minorHAnsi" w:hAnsiTheme="minorHAnsi" w:cstheme="minorHAnsi"/>
        </w:rPr>
        <w:t>nikační plán specifického</w:t>
      </w:r>
      <w:r w:rsidRPr="00C24606" w:rsidR="00816986">
        <w:rPr>
          <w:rFonts w:asciiTheme="minorHAnsi" w:hAnsiTheme="minorHAnsi" w:cstheme="minorHAnsi"/>
        </w:rPr>
        <w:t xml:space="preserve"> cíle Digitalizace zdravotnictví bude vycházet z komunikační </w:t>
      </w:r>
      <w:r w:rsidRPr="00C24606" w:rsidR="000C1042">
        <w:rPr>
          <w:rFonts w:asciiTheme="minorHAnsi" w:hAnsiTheme="minorHAnsi" w:cstheme="minorHAnsi"/>
        </w:rPr>
        <w:t>strategie Strategického rámce</w:t>
      </w:r>
      <w:r w:rsidRPr="00C24606" w:rsidR="00816986">
        <w:rPr>
          <w:rFonts w:asciiTheme="minorHAnsi" w:hAnsiTheme="minorHAnsi" w:cstheme="minorHAnsi"/>
        </w:rPr>
        <w:t xml:space="preserve"> Zdraví </w:t>
      </w:r>
      <w:r w:rsidRPr="00C24606" w:rsidR="00BE4D73">
        <w:rPr>
          <w:rFonts w:asciiTheme="minorHAnsi" w:hAnsiTheme="minorHAnsi" w:cstheme="minorHAnsi"/>
        </w:rPr>
        <w:t>203</w:t>
      </w:r>
      <w:r w:rsidR="00BE4D73">
        <w:rPr>
          <w:rFonts w:asciiTheme="minorHAnsi" w:hAnsiTheme="minorHAnsi" w:cstheme="minorHAnsi"/>
        </w:rPr>
        <w:t>5</w:t>
      </w:r>
      <w:r w:rsidRPr="00C24606" w:rsidR="00BE4D73">
        <w:rPr>
          <w:rFonts w:asciiTheme="minorHAnsi" w:hAnsiTheme="minorHAnsi" w:cstheme="minorHAnsi"/>
        </w:rPr>
        <w:t xml:space="preserve"> </w:t>
      </w:r>
      <w:r w:rsidRPr="00C24606" w:rsidR="00816986">
        <w:rPr>
          <w:rFonts w:asciiTheme="minorHAnsi" w:hAnsiTheme="minorHAnsi" w:cstheme="minorHAnsi"/>
        </w:rPr>
        <w:t xml:space="preserve">a </w:t>
      </w:r>
      <w:r w:rsidRPr="00C24606" w:rsidR="003F02B8">
        <w:rPr>
          <w:rFonts w:asciiTheme="minorHAnsi" w:hAnsiTheme="minorHAnsi" w:cstheme="minorHAnsi"/>
        </w:rPr>
        <w:t xml:space="preserve">ve specifické oblasti Digitalizace zdravotnictví bude </w:t>
      </w:r>
      <w:r w:rsidRPr="00C24606" w:rsidR="00F5371C">
        <w:rPr>
          <w:rFonts w:asciiTheme="minorHAnsi" w:hAnsiTheme="minorHAnsi" w:cstheme="minorHAnsi"/>
        </w:rPr>
        <w:t xml:space="preserve">dále </w:t>
      </w:r>
      <w:r w:rsidRPr="00C24606" w:rsidR="003F02B8">
        <w:rPr>
          <w:rFonts w:asciiTheme="minorHAnsi" w:hAnsiTheme="minorHAnsi" w:cstheme="minorHAnsi"/>
        </w:rPr>
        <w:t>rozpracován</w:t>
      </w:r>
      <w:r w:rsidRPr="00C24606" w:rsidR="00F5371C">
        <w:rPr>
          <w:rFonts w:asciiTheme="minorHAnsi" w:hAnsiTheme="minorHAnsi" w:cstheme="minorHAnsi"/>
        </w:rPr>
        <w:t>.</w:t>
      </w:r>
    </w:p>
    <w:p w:rsidR="00B22BEC" w:rsidRPr="00C24606" w:rsidP="00B22BEC" w14:paraId="75FC3D94" w14:textId="57EC1DB1">
      <w:pPr>
        <w:spacing w:line="276" w:lineRule="auto"/>
        <w:jc w:val="both"/>
        <w:rPr>
          <w:rFonts w:asciiTheme="minorHAnsi" w:hAnsiTheme="minorHAnsi" w:cstheme="minorHAnsi"/>
        </w:rPr>
      </w:pPr>
      <w:r w:rsidRPr="00C24606">
        <w:rPr>
          <w:rFonts w:asciiTheme="minorHAnsi" w:hAnsiTheme="minorHAnsi" w:cstheme="minorHAnsi"/>
        </w:rPr>
        <w:t xml:space="preserve">Porada vedení </w:t>
      </w:r>
      <w:r w:rsidR="008C6210">
        <w:rPr>
          <w:rFonts w:asciiTheme="minorHAnsi" w:hAnsiTheme="minorHAnsi" w:cstheme="minorHAnsi"/>
        </w:rPr>
        <w:t>MZD</w:t>
      </w:r>
      <w:r w:rsidRPr="00C24606">
        <w:rPr>
          <w:rFonts w:asciiTheme="minorHAnsi" w:hAnsiTheme="minorHAnsi" w:cstheme="minorHAnsi"/>
        </w:rPr>
        <w:t xml:space="preserve"> bude informována o průběhu realizace Strategického rámce Zdraví </w:t>
      </w:r>
      <w:r w:rsidRPr="00C24606" w:rsidR="00BE4D73">
        <w:rPr>
          <w:rFonts w:asciiTheme="minorHAnsi" w:hAnsiTheme="minorHAnsi" w:cstheme="minorHAnsi"/>
        </w:rPr>
        <w:t>203</w:t>
      </w:r>
      <w:r w:rsidR="00BE4D73">
        <w:rPr>
          <w:rFonts w:asciiTheme="minorHAnsi" w:hAnsiTheme="minorHAnsi" w:cstheme="minorHAnsi"/>
        </w:rPr>
        <w:t>5</w:t>
      </w:r>
      <w:r w:rsidRPr="00C24606" w:rsidR="00BE4D73">
        <w:rPr>
          <w:rFonts w:asciiTheme="minorHAnsi" w:hAnsiTheme="minorHAnsi" w:cstheme="minorHAnsi"/>
        </w:rPr>
        <w:t xml:space="preserve"> </w:t>
      </w:r>
      <w:r w:rsidRPr="00C24606">
        <w:rPr>
          <w:rFonts w:asciiTheme="minorHAnsi" w:hAnsiTheme="minorHAnsi" w:cstheme="minorHAnsi"/>
        </w:rPr>
        <w:t xml:space="preserve">včetně všech implementačních plánů, tedy i o Implementačním plánu 2.3 Digitalizace   zdravotnictví. Dále budou informace prostřednictvím webových stránek </w:t>
      </w:r>
      <w:r w:rsidR="008C6210">
        <w:rPr>
          <w:rFonts w:asciiTheme="minorHAnsi" w:hAnsiTheme="minorHAnsi" w:cstheme="minorHAnsi"/>
        </w:rPr>
        <w:t>MZD</w:t>
      </w:r>
      <w:r w:rsidRPr="00C24606">
        <w:rPr>
          <w:rFonts w:asciiTheme="minorHAnsi" w:hAnsiTheme="minorHAnsi" w:cstheme="minorHAnsi"/>
        </w:rPr>
        <w:t>.</w:t>
      </w:r>
    </w:p>
    <w:p w:rsidR="00B22BEC" w:rsidP="00B22BEC" w14:paraId="68D34E0D" w14:textId="77777777">
      <w:pPr>
        <w:spacing w:line="276" w:lineRule="auto"/>
        <w:jc w:val="both"/>
        <w:rPr>
          <w:rFonts w:asciiTheme="minorHAnsi" w:hAnsiTheme="minorHAnsi" w:cstheme="minorHAnsi"/>
        </w:rPr>
      </w:pPr>
    </w:p>
    <w:p w:rsidR="00B22BEC" w:rsidRPr="00C24606" w:rsidP="00B22BEC" w14:paraId="14901181" w14:textId="6CA7A06C">
      <w:pPr>
        <w:spacing w:line="276" w:lineRule="auto"/>
        <w:jc w:val="both"/>
        <w:rPr>
          <w:rFonts w:asciiTheme="minorHAnsi" w:hAnsiTheme="minorHAnsi" w:cstheme="minorHAnsi"/>
        </w:rPr>
      </w:pPr>
      <w:r w:rsidRPr="00C24606">
        <w:rPr>
          <w:rFonts w:asciiTheme="minorHAnsi" w:hAnsiTheme="minorHAnsi" w:cstheme="minorHAnsi"/>
        </w:rPr>
        <w:t xml:space="preserve">Tab. č. </w:t>
      </w:r>
      <w:r w:rsidR="00FC1976">
        <w:rPr>
          <w:rFonts w:asciiTheme="minorHAnsi" w:hAnsiTheme="minorHAnsi" w:cstheme="minorHAnsi"/>
        </w:rPr>
        <w:t>6</w:t>
      </w:r>
      <w:r w:rsidRPr="00C24606">
        <w:rPr>
          <w:rFonts w:asciiTheme="minorHAnsi" w:hAnsiTheme="minorHAnsi" w:cstheme="minorHAnsi"/>
        </w:rPr>
        <w:t>: Základní komunikační plán</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0"/>
        <w:gridCol w:w="1417"/>
        <w:gridCol w:w="1418"/>
        <w:gridCol w:w="1417"/>
        <w:gridCol w:w="1560"/>
        <w:gridCol w:w="1134"/>
        <w:gridCol w:w="1275"/>
      </w:tblGrid>
      <w:tr w14:paraId="24A8BBAA" w14:textId="77777777" w:rsidTr="00B22BEC">
        <w:tblPrEx>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264"/>
        </w:trPr>
        <w:tc>
          <w:tcPr>
            <w:tcW w:w="1980" w:type="dxa"/>
          </w:tcPr>
          <w:p w:rsidR="00905362" w:rsidRPr="00C24606" w:rsidP="00B22BEC" w14:paraId="5E143BA3" w14:textId="77777777">
            <w:pPr>
              <w:ind w:left="22"/>
              <w:jc w:val="both"/>
              <w:rPr>
                <w:rFonts w:asciiTheme="minorHAnsi" w:hAnsiTheme="minorHAnsi" w:cstheme="minorHAnsi"/>
                <w:b/>
                <w:sz w:val="22"/>
                <w:szCs w:val="22"/>
              </w:rPr>
            </w:pPr>
            <w:r w:rsidRPr="00C24606">
              <w:rPr>
                <w:rFonts w:asciiTheme="minorHAnsi" w:hAnsiTheme="minorHAnsi" w:cstheme="minorHAnsi"/>
                <w:b/>
                <w:sz w:val="22"/>
                <w:szCs w:val="22"/>
              </w:rPr>
              <w:t>Název aktivity</w:t>
            </w:r>
          </w:p>
        </w:tc>
        <w:tc>
          <w:tcPr>
            <w:tcW w:w="1417" w:type="dxa"/>
          </w:tcPr>
          <w:p w:rsidR="00905362" w:rsidRPr="00C24606" w:rsidP="00B22BEC" w14:paraId="4940BBE6" w14:textId="77777777">
            <w:pPr>
              <w:jc w:val="both"/>
              <w:rPr>
                <w:rFonts w:asciiTheme="minorHAnsi" w:hAnsiTheme="minorHAnsi" w:cstheme="minorHAnsi"/>
                <w:b/>
                <w:sz w:val="22"/>
                <w:szCs w:val="22"/>
              </w:rPr>
            </w:pPr>
            <w:r w:rsidRPr="00C24606">
              <w:rPr>
                <w:rFonts w:asciiTheme="minorHAnsi" w:hAnsiTheme="minorHAnsi" w:cstheme="minorHAnsi"/>
                <w:b/>
                <w:sz w:val="22"/>
                <w:szCs w:val="22"/>
              </w:rPr>
              <w:t>Popis obsahu sdělení</w:t>
            </w:r>
          </w:p>
        </w:tc>
        <w:tc>
          <w:tcPr>
            <w:tcW w:w="1418" w:type="dxa"/>
          </w:tcPr>
          <w:p w:rsidR="00905362" w:rsidRPr="00C24606" w:rsidP="00B22BEC" w14:paraId="53753EAB" w14:textId="77777777">
            <w:pPr>
              <w:jc w:val="both"/>
              <w:rPr>
                <w:rFonts w:asciiTheme="minorHAnsi" w:hAnsiTheme="minorHAnsi" w:cstheme="minorHAnsi"/>
                <w:b/>
                <w:sz w:val="22"/>
                <w:szCs w:val="22"/>
              </w:rPr>
            </w:pPr>
            <w:r w:rsidRPr="00C24606">
              <w:rPr>
                <w:rFonts w:asciiTheme="minorHAnsi" w:hAnsiTheme="minorHAnsi" w:cstheme="minorHAnsi"/>
                <w:b/>
                <w:sz w:val="22"/>
                <w:szCs w:val="22"/>
              </w:rPr>
              <w:t>Cílová skupina</w:t>
            </w:r>
          </w:p>
        </w:tc>
        <w:tc>
          <w:tcPr>
            <w:tcW w:w="1417" w:type="dxa"/>
          </w:tcPr>
          <w:p w:rsidR="00905362" w:rsidRPr="00C24606" w:rsidP="00B22BEC" w14:paraId="53F21756" w14:textId="59AFB0A7">
            <w:pPr>
              <w:jc w:val="both"/>
              <w:rPr>
                <w:rFonts w:asciiTheme="minorHAnsi" w:hAnsiTheme="minorHAnsi" w:cstheme="minorHAnsi"/>
                <w:b/>
                <w:sz w:val="22"/>
                <w:szCs w:val="22"/>
              </w:rPr>
            </w:pPr>
            <w:r w:rsidRPr="00C24606">
              <w:rPr>
                <w:rFonts w:asciiTheme="minorHAnsi" w:hAnsiTheme="minorHAnsi" w:cstheme="minorHAnsi"/>
                <w:b/>
                <w:sz w:val="22"/>
                <w:szCs w:val="22"/>
              </w:rPr>
              <w:t>Forma sdělení</w:t>
            </w:r>
          </w:p>
        </w:tc>
        <w:tc>
          <w:tcPr>
            <w:tcW w:w="1560" w:type="dxa"/>
          </w:tcPr>
          <w:p w:rsidR="00905362" w:rsidRPr="00C24606" w:rsidP="00B22BEC" w14:paraId="097629B1" w14:textId="4418E749">
            <w:pPr>
              <w:jc w:val="both"/>
              <w:rPr>
                <w:rFonts w:asciiTheme="minorHAnsi" w:hAnsiTheme="minorHAnsi" w:cstheme="minorHAnsi"/>
                <w:b/>
                <w:sz w:val="22"/>
                <w:szCs w:val="22"/>
              </w:rPr>
            </w:pPr>
            <w:r w:rsidRPr="00C24606">
              <w:rPr>
                <w:rFonts w:asciiTheme="minorHAnsi" w:hAnsiTheme="minorHAnsi" w:cstheme="minorHAnsi"/>
                <w:b/>
                <w:sz w:val="22"/>
                <w:szCs w:val="22"/>
              </w:rPr>
              <w:t xml:space="preserve">Předpokládaná doba realizace  </w:t>
            </w:r>
          </w:p>
        </w:tc>
        <w:tc>
          <w:tcPr>
            <w:tcW w:w="1134" w:type="dxa"/>
          </w:tcPr>
          <w:p w:rsidR="00905362" w:rsidRPr="00C24606" w:rsidP="00B22BEC" w14:paraId="152A30E9" w14:textId="77777777">
            <w:pPr>
              <w:jc w:val="both"/>
              <w:rPr>
                <w:rFonts w:asciiTheme="minorHAnsi" w:hAnsiTheme="minorHAnsi" w:cstheme="minorHAnsi"/>
                <w:b/>
                <w:sz w:val="22"/>
                <w:szCs w:val="22"/>
              </w:rPr>
            </w:pPr>
            <w:r w:rsidRPr="00C24606">
              <w:rPr>
                <w:rFonts w:asciiTheme="minorHAnsi" w:hAnsiTheme="minorHAnsi" w:cstheme="minorHAnsi"/>
                <w:b/>
                <w:sz w:val="22"/>
                <w:szCs w:val="22"/>
              </w:rPr>
              <w:t>Realizátor</w:t>
            </w:r>
          </w:p>
        </w:tc>
        <w:tc>
          <w:tcPr>
            <w:tcW w:w="1275" w:type="dxa"/>
          </w:tcPr>
          <w:p w:rsidR="00905362" w:rsidRPr="00C24606" w:rsidP="00B22BEC" w14:paraId="0EA32AAC" w14:textId="77777777">
            <w:pPr>
              <w:jc w:val="both"/>
              <w:rPr>
                <w:rFonts w:asciiTheme="minorHAnsi" w:hAnsiTheme="minorHAnsi" w:cstheme="minorHAnsi"/>
                <w:b/>
                <w:sz w:val="22"/>
                <w:szCs w:val="22"/>
              </w:rPr>
            </w:pPr>
            <w:r w:rsidRPr="00C24606">
              <w:rPr>
                <w:rFonts w:asciiTheme="minorHAnsi" w:hAnsiTheme="minorHAnsi" w:cstheme="minorHAnsi"/>
                <w:b/>
                <w:sz w:val="22"/>
                <w:szCs w:val="22"/>
              </w:rPr>
              <w:t>Garant</w:t>
            </w:r>
          </w:p>
        </w:tc>
      </w:tr>
      <w:tr w14:paraId="64FAD663" w14:textId="77777777" w:rsidTr="00B22BEC">
        <w:tblPrEx>
          <w:tblW w:w="10201" w:type="dxa"/>
          <w:tblLayout w:type="fixed"/>
          <w:tblCellMar>
            <w:left w:w="70" w:type="dxa"/>
            <w:right w:w="70" w:type="dxa"/>
          </w:tblCellMar>
          <w:tblLook w:val="0000"/>
        </w:tblPrEx>
        <w:trPr>
          <w:trHeight w:val="70"/>
        </w:trPr>
        <w:tc>
          <w:tcPr>
            <w:tcW w:w="1980" w:type="dxa"/>
          </w:tcPr>
          <w:p w:rsidR="00E456D3" w:rsidRPr="00C24606" w:rsidP="00B22BEC" w14:paraId="6A403A65" w14:textId="4158158F">
            <w:pPr>
              <w:ind w:left="22"/>
              <w:jc w:val="both"/>
              <w:rPr>
                <w:rFonts w:asciiTheme="minorHAnsi" w:hAnsiTheme="minorHAnsi" w:cstheme="minorHAnsi"/>
                <w:sz w:val="22"/>
                <w:szCs w:val="22"/>
              </w:rPr>
            </w:pPr>
            <w:r>
              <w:rPr>
                <w:rFonts w:asciiTheme="minorHAnsi" w:hAnsiTheme="minorHAnsi" w:cstheme="minorHAnsi"/>
                <w:sz w:val="22"/>
                <w:szCs w:val="22"/>
              </w:rPr>
              <w:t>Projekt komunikace plánů digitalizace</w:t>
            </w:r>
          </w:p>
        </w:tc>
        <w:tc>
          <w:tcPr>
            <w:tcW w:w="1417" w:type="dxa"/>
          </w:tcPr>
          <w:p w:rsidR="00E456D3" w:rsidRPr="00C24606" w:rsidP="00B22BEC" w14:paraId="3D0D2828" w14:textId="4F2A0C25">
            <w:pPr>
              <w:jc w:val="both"/>
              <w:rPr>
                <w:rFonts w:asciiTheme="minorHAnsi" w:hAnsiTheme="minorHAnsi" w:cstheme="minorHAnsi"/>
                <w:sz w:val="22"/>
                <w:szCs w:val="22"/>
              </w:rPr>
            </w:pPr>
            <w:r w:rsidRPr="00E456D3">
              <w:rPr>
                <w:rFonts w:asciiTheme="minorHAnsi" w:hAnsiTheme="minorHAnsi" w:cstheme="minorHAnsi"/>
                <w:sz w:val="22"/>
                <w:szCs w:val="22"/>
              </w:rPr>
              <w:t>Seznámení veřejnosti se záměry digitalizace</w:t>
            </w:r>
          </w:p>
        </w:tc>
        <w:tc>
          <w:tcPr>
            <w:tcW w:w="1418" w:type="dxa"/>
          </w:tcPr>
          <w:p w:rsidR="00E456D3" w:rsidP="00B22BEC" w14:paraId="3CCA6B3C" w14:textId="50A12954">
            <w:pPr>
              <w:jc w:val="both"/>
              <w:rPr>
                <w:rFonts w:asciiTheme="minorHAnsi" w:hAnsiTheme="minorHAnsi" w:cstheme="minorHAnsi"/>
                <w:sz w:val="22"/>
                <w:szCs w:val="22"/>
              </w:rPr>
            </w:pPr>
            <w:r w:rsidRPr="00E456D3">
              <w:rPr>
                <w:rFonts w:asciiTheme="minorHAnsi" w:hAnsiTheme="minorHAnsi" w:cstheme="minorHAnsi"/>
                <w:sz w:val="22"/>
                <w:szCs w:val="22"/>
              </w:rPr>
              <w:t>Odborná i laická veřejnost</w:t>
            </w:r>
          </w:p>
        </w:tc>
        <w:tc>
          <w:tcPr>
            <w:tcW w:w="1417" w:type="dxa"/>
          </w:tcPr>
          <w:p w:rsidR="00E456D3" w:rsidP="00B22BEC" w14:paraId="3C80BB6F" w14:textId="2D09E5FF">
            <w:pPr>
              <w:jc w:val="both"/>
              <w:rPr>
                <w:rFonts w:asciiTheme="minorHAnsi" w:hAnsiTheme="minorHAnsi" w:cstheme="minorHAnsi"/>
                <w:sz w:val="22"/>
                <w:szCs w:val="22"/>
              </w:rPr>
            </w:pPr>
            <w:r w:rsidRPr="00E456D3">
              <w:rPr>
                <w:rFonts w:asciiTheme="minorHAnsi" w:hAnsiTheme="minorHAnsi" w:cstheme="minorHAnsi"/>
                <w:sz w:val="22"/>
                <w:szCs w:val="22"/>
              </w:rPr>
              <w:t>Viz následující aktivity</w:t>
            </w:r>
          </w:p>
        </w:tc>
        <w:tc>
          <w:tcPr>
            <w:tcW w:w="1560" w:type="dxa"/>
          </w:tcPr>
          <w:p w:rsidR="00E456D3" w:rsidP="00B22BEC" w14:paraId="31A3549C" w14:textId="3018640E">
            <w:pPr>
              <w:jc w:val="both"/>
              <w:rPr>
                <w:rFonts w:asciiTheme="minorHAnsi" w:hAnsiTheme="minorHAnsi" w:cstheme="minorHAnsi"/>
                <w:sz w:val="22"/>
                <w:szCs w:val="22"/>
              </w:rPr>
            </w:pPr>
            <w:r w:rsidRPr="00E456D3">
              <w:rPr>
                <w:rFonts w:asciiTheme="minorHAnsi" w:hAnsiTheme="minorHAnsi" w:cstheme="minorHAnsi"/>
                <w:sz w:val="22"/>
                <w:szCs w:val="22"/>
              </w:rPr>
              <w:t>2020 - 202</w:t>
            </w:r>
            <w:r w:rsidR="004E1CEA">
              <w:rPr>
                <w:rFonts w:asciiTheme="minorHAnsi" w:hAnsiTheme="minorHAnsi" w:cstheme="minorHAnsi"/>
                <w:sz w:val="22"/>
                <w:szCs w:val="22"/>
              </w:rPr>
              <w:t>4</w:t>
            </w:r>
          </w:p>
        </w:tc>
        <w:tc>
          <w:tcPr>
            <w:tcW w:w="1134" w:type="dxa"/>
          </w:tcPr>
          <w:p w:rsidR="00E456D3" w:rsidP="00B22BEC" w14:paraId="61F1C2DB" w14:textId="32C32CA0">
            <w:pPr>
              <w:jc w:val="both"/>
              <w:rPr>
                <w:rFonts w:asciiTheme="minorHAnsi" w:hAnsiTheme="minorHAnsi" w:cstheme="minorHAnsi"/>
                <w:sz w:val="22"/>
                <w:szCs w:val="22"/>
              </w:rPr>
            </w:pPr>
            <w:r>
              <w:rPr>
                <w:rFonts w:asciiTheme="minorHAnsi" w:hAnsiTheme="minorHAnsi" w:cstheme="minorHAnsi"/>
                <w:sz w:val="22"/>
                <w:szCs w:val="22"/>
              </w:rPr>
              <w:t>NCEZ</w:t>
            </w:r>
          </w:p>
        </w:tc>
        <w:tc>
          <w:tcPr>
            <w:tcW w:w="1275" w:type="dxa"/>
          </w:tcPr>
          <w:p w:rsidR="00E456D3" w:rsidP="00B22BEC" w14:paraId="12CD31C4" w14:textId="42BFE694">
            <w:pPr>
              <w:jc w:val="both"/>
              <w:rPr>
                <w:rFonts w:asciiTheme="minorHAnsi" w:hAnsiTheme="minorHAnsi" w:cstheme="minorHAnsi"/>
                <w:sz w:val="22"/>
                <w:szCs w:val="22"/>
              </w:rPr>
            </w:pPr>
            <w:r>
              <w:rPr>
                <w:rFonts w:asciiTheme="minorHAnsi" w:hAnsiTheme="minorHAnsi" w:cstheme="minorHAnsi"/>
                <w:sz w:val="22"/>
                <w:szCs w:val="22"/>
              </w:rPr>
              <w:t>SIT</w:t>
            </w:r>
            <w:r>
              <w:rPr>
                <w:rFonts w:asciiTheme="minorHAnsi" w:hAnsiTheme="minorHAnsi" w:cstheme="minorHAnsi"/>
                <w:sz w:val="22"/>
                <w:szCs w:val="22"/>
              </w:rPr>
              <w:t>/</w:t>
            </w:r>
            <w:r>
              <w:rPr>
                <w:rFonts w:asciiTheme="minorHAnsi" w:hAnsiTheme="minorHAnsi" w:cstheme="minorHAnsi"/>
                <w:sz w:val="22"/>
                <w:szCs w:val="22"/>
              </w:rPr>
              <w:t>NCEZ</w:t>
            </w:r>
          </w:p>
        </w:tc>
      </w:tr>
      <w:tr w14:paraId="53F18523" w14:textId="77777777" w:rsidTr="00B22BEC">
        <w:tblPrEx>
          <w:tblW w:w="10201" w:type="dxa"/>
          <w:tblLayout w:type="fixed"/>
          <w:tblCellMar>
            <w:left w:w="70" w:type="dxa"/>
            <w:right w:w="70" w:type="dxa"/>
          </w:tblCellMar>
          <w:tblLook w:val="0000"/>
        </w:tblPrEx>
        <w:trPr>
          <w:trHeight w:val="70"/>
        </w:trPr>
        <w:tc>
          <w:tcPr>
            <w:tcW w:w="1980" w:type="dxa"/>
          </w:tcPr>
          <w:p w:rsidR="00E456D3" w:rsidRPr="00C24606" w:rsidP="00B22BEC" w14:paraId="132EB3DB" w14:textId="0FD52FE9">
            <w:pPr>
              <w:ind w:left="22"/>
              <w:jc w:val="both"/>
              <w:rPr>
                <w:rFonts w:asciiTheme="minorHAnsi" w:hAnsiTheme="minorHAnsi" w:cstheme="minorHAnsi"/>
                <w:sz w:val="22"/>
                <w:szCs w:val="22"/>
              </w:rPr>
            </w:pPr>
            <w:r w:rsidRPr="00C24606">
              <w:rPr>
                <w:rFonts w:asciiTheme="minorHAnsi" w:hAnsiTheme="minorHAnsi" w:cstheme="minorHAnsi"/>
                <w:sz w:val="22"/>
                <w:szCs w:val="22"/>
              </w:rPr>
              <w:t xml:space="preserve">Komunikace dílčích výstupů digitalizace zdravotnictví </w:t>
            </w:r>
          </w:p>
        </w:tc>
        <w:tc>
          <w:tcPr>
            <w:tcW w:w="1417" w:type="dxa"/>
          </w:tcPr>
          <w:p w:rsidR="00E456D3" w:rsidRPr="00C24606" w:rsidP="00B22BEC" w14:paraId="01B694A8" w14:textId="77777777">
            <w:pPr>
              <w:jc w:val="both"/>
              <w:rPr>
                <w:rFonts w:asciiTheme="minorHAnsi" w:hAnsiTheme="minorHAnsi" w:cstheme="minorHAnsi"/>
                <w:sz w:val="22"/>
                <w:szCs w:val="22"/>
              </w:rPr>
            </w:pPr>
            <w:r w:rsidRPr="00C24606">
              <w:rPr>
                <w:rFonts w:asciiTheme="minorHAnsi" w:hAnsiTheme="minorHAnsi" w:cstheme="minorHAnsi"/>
                <w:sz w:val="22"/>
                <w:szCs w:val="22"/>
              </w:rPr>
              <w:t xml:space="preserve">Informace o konkrétních výstupech </w:t>
            </w:r>
          </w:p>
        </w:tc>
        <w:tc>
          <w:tcPr>
            <w:tcW w:w="1418" w:type="dxa"/>
          </w:tcPr>
          <w:p w:rsidR="00E456D3" w:rsidRPr="00C24606" w:rsidP="00B22BEC" w14:paraId="54719811" w14:textId="2B3E766F">
            <w:pPr>
              <w:jc w:val="both"/>
              <w:rPr>
                <w:rFonts w:asciiTheme="minorHAnsi" w:hAnsiTheme="minorHAnsi" w:cstheme="minorHAnsi"/>
                <w:sz w:val="22"/>
                <w:szCs w:val="22"/>
              </w:rPr>
            </w:pPr>
            <w:r>
              <w:rPr>
                <w:rFonts w:asciiTheme="minorHAnsi" w:hAnsiTheme="minorHAnsi" w:cstheme="minorHAnsi"/>
                <w:sz w:val="22"/>
                <w:szCs w:val="22"/>
              </w:rPr>
              <w:t>Odborná i laická veřejnost</w:t>
            </w:r>
          </w:p>
        </w:tc>
        <w:tc>
          <w:tcPr>
            <w:tcW w:w="1417" w:type="dxa"/>
          </w:tcPr>
          <w:p w:rsidR="00E456D3" w:rsidP="00B22BEC" w14:paraId="100D0B73" w14:textId="77777777">
            <w:pPr>
              <w:jc w:val="both"/>
              <w:rPr>
                <w:rFonts w:asciiTheme="minorHAnsi" w:hAnsiTheme="minorHAnsi" w:cstheme="minorHAnsi"/>
                <w:sz w:val="22"/>
                <w:szCs w:val="22"/>
              </w:rPr>
            </w:pPr>
            <w:r>
              <w:rPr>
                <w:rFonts w:asciiTheme="minorHAnsi" w:hAnsiTheme="minorHAnsi" w:cstheme="minorHAnsi"/>
                <w:sz w:val="22"/>
                <w:szCs w:val="22"/>
              </w:rPr>
              <w:t>Semináře, tisková zpráva,</w:t>
            </w:r>
          </w:p>
          <w:p w:rsidR="00E456D3" w:rsidP="00B22BEC" w14:paraId="53F2828C" w14:textId="329F9E78">
            <w:pPr>
              <w:jc w:val="both"/>
              <w:rPr>
                <w:rFonts w:asciiTheme="minorHAnsi" w:hAnsiTheme="minorHAnsi" w:cstheme="minorHAnsi"/>
                <w:sz w:val="22"/>
                <w:szCs w:val="22"/>
              </w:rPr>
            </w:pPr>
            <w:r>
              <w:rPr>
                <w:rFonts w:asciiTheme="minorHAnsi" w:hAnsiTheme="minorHAnsi" w:cstheme="minorHAnsi"/>
                <w:sz w:val="22"/>
                <w:szCs w:val="22"/>
              </w:rPr>
              <w:t>č</w:t>
            </w:r>
            <w:r w:rsidRPr="00C24606">
              <w:rPr>
                <w:rFonts w:asciiTheme="minorHAnsi" w:hAnsiTheme="minorHAnsi" w:cstheme="minorHAnsi"/>
                <w:sz w:val="22"/>
                <w:szCs w:val="22"/>
              </w:rPr>
              <w:t xml:space="preserve">lánky na </w:t>
            </w:r>
            <w:hyperlink r:id="rId21" w:history="1">
              <w:r w:rsidR="00C66CF2">
                <w:rPr>
                  <w:rStyle w:val="Hyperlink"/>
                  <w:rFonts w:asciiTheme="minorHAnsi" w:hAnsiTheme="minorHAnsi" w:cstheme="minorHAnsi"/>
                  <w:sz w:val="22"/>
                  <w:szCs w:val="22"/>
                </w:rPr>
                <w:t>www.mzd.gov.cz</w:t>
              </w:r>
            </w:hyperlink>
            <w:r w:rsidRPr="00C24606">
              <w:rPr>
                <w:rFonts w:asciiTheme="minorHAnsi" w:hAnsiTheme="minorHAnsi" w:cstheme="minorHAnsi"/>
                <w:sz w:val="22"/>
                <w:szCs w:val="22"/>
              </w:rPr>
              <w:t xml:space="preserve">, </w:t>
            </w:r>
          </w:p>
          <w:p w:rsidR="00E456D3" w:rsidRPr="00C24606" w:rsidP="00B22BEC" w14:paraId="69253409" w14:textId="308F257B">
            <w:pPr>
              <w:jc w:val="both"/>
              <w:rPr>
                <w:rFonts w:asciiTheme="minorHAnsi" w:hAnsiTheme="minorHAnsi" w:cstheme="minorHAnsi"/>
                <w:sz w:val="22"/>
                <w:szCs w:val="22"/>
              </w:rPr>
            </w:pPr>
            <w:r w:rsidRPr="00D62076">
              <w:t>www.ncez.mzcr.cz</w:t>
            </w:r>
          </w:p>
          <w:p w:rsidR="00E456D3" w:rsidRPr="00C24606" w:rsidP="00B22BEC" w14:paraId="24E3B65F" w14:textId="638B1157">
            <w:pPr>
              <w:jc w:val="both"/>
              <w:rPr>
                <w:rFonts w:asciiTheme="minorHAnsi" w:hAnsiTheme="minorHAnsi" w:cstheme="minorHAnsi"/>
                <w:sz w:val="22"/>
                <w:szCs w:val="22"/>
              </w:rPr>
            </w:pPr>
            <w:r w:rsidRPr="00C24606">
              <w:rPr>
                <w:rFonts w:asciiTheme="minorHAnsi" w:hAnsiTheme="minorHAnsi" w:cstheme="minorHAnsi"/>
                <w:sz w:val="22"/>
                <w:szCs w:val="22"/>
              </w:rPr>
              <w:t xml:space="preserve"> </w:t>
            </w:r>
          </w:p>
        </w:tc>
        <w:tc>
          <w:tcPr>
            <w:tcW w:w="1560" w:type="dxa"/>
          </w:tcPr>
          <w:p w:rsidR="00E456D3" w:rsidRPr="00C24606" w:rsidP="00B22BEC" w14:paraId="4ED81E19" w14:textId="7E9DB463">
            <w:pPr>
              <w:jc w:val="both"/>
              <w:rPr>
                <w:rFonts w:asciiTheme="minorHAnsi" w:hAnsiTheme="minorHAnsi" w:cstheme="minorHAnsi"/>
                <w:sz w:val="22"/>
                <w:szCs w:val="22"/>
              </w:rPr>
            </w:pPr>
            <w:r>
              <w:rPr>
                <w:rFonts w:asciiTheme="minorHAnsi" w:hAnsiTheme="minorHAnsi" w:cstheme="minorHAnsi"/>
                <w:sz w:val="22"/>
                <w:szCs w:val="22"/>
              </w:rPr>
              <w:t>2020-203</w:t>
            </w:r>
            <w:r w:rsidR="004E1CEA">
              <w:rPr>
                <w:rFonts w:asciiTheme="minorHAnsi" w:hAnsiTheme="minorHAnsi" w:cstheme="minorHAnsi"/>
                <w:sz w:val="22"/>
                <w:szCs w:val="22"/>
              </w:rPr>
              <w:t>5</w:t>
            </w:r>
          </w:p>
        </w:tc>
        <w:tc>
          <w:tcPr>
            <w:tcW w:w="1134" w:type="dxa"/>
          </w:tcPr>
          <w:p w:rsidR="00E456D3" w:rsidRPr="00C24606" w:rsidP="00B22BEC" w14:paraId="540778C7" w14:textId="652649DE">
            <w:pPr>
              <w:jc w:val="both"/>
              <w:rPr>
                <w:rFonts w:asciiTheme="minorHAnsi" w:hAnsiTheme="minorHAnsi" w:cstheme="minorHAnsi"/>
                <w:sz w:val="22"/>
                <w:szCs w:val="22"/>
              </w:rPr>
            </w:pPr>
            <w:r>
              <w:rPr>
                <w:rFonts w:asciiTheme="minorHAnsi" w:hAnsiTheme="minorHAnsi" w:cstheme="minorHAnsi"/>
                <w:sz w:val="22"/>
                <w:szCs w:val="22"/>
              </w:rPr>
              <w:t>NCEZ</w:t>
            </w:r>
          </w:p>
        </w:tc>
        <w:tc>
          <w:tcPr>
            <w:tcW w:w="1275" w:type="dxa"/>
          </w:tcPr>
          <w:p w:rsidR="00E456D3" w:rsidRPr="00C24606" w:rsidP="00B22BEC" w14:paraId="3DB14003" w14:textId="4F34E730">
            <w:pPr>
              <w:jc w:val="both"/>
              <w:rPr>
                <w:rFonts w:asciiTheme="minorHAnsi" w:hAnsiTheme="minorHAnsi" w:cstheme="minorHAnsi"/>
                <w:sz w:val="22"/>
                <w:szCs w:val="22"/>
              </w:rPr>
            </w:pPr>
            <w:r>
              <w:rPr>
                <w:rFonts w:asciiTheme="minorHAnsi" w:hAnsiTheme="minorHAnsi" w:cstheme="minorHAnsi"/>
                <w:sz w:val="22"/>
                <w:szCs w:val="22"/>
              </w:rPr>
              <w:t xml:space="preserve">Příslušná sekce </w:t>
            </w:r>
            <w:r w:rsidR="008C6210">
              <w:rPr>
                <w:rFonts w:asciiTheme="minorHAnsi" w:hAnsiTheme="minorHAnsi" w:cstheme="minorHAnsi"/>
                <w:sz w:val="22"/>
                <w:szCs w:val="22"/>
              </w:rPr>
              <w:t>MZD</w:t>
            </w:r>
            <w:r>
              <w:rPr>
                <w:rFonts w:asciiTheme="minorHAnsi" w:hAnsiTheme="minorHAnsi" w:cstheme="minorHAnsi"/>
                <w:sz w:val="22"/>
                <w:szCs w:val="22"/>
              </w:rPr>
              <w:t xml:space="preserve">, </w:t>
            </w:r>
            <w:r w:rsidR="000247C3">
              <w:rPr>
                <w:rFonts w:asciiTheme="minorHAnsi" w:hAnsiTheme="minorHAnsi" w:cstheme="minorHAnsi"/>
                <w:sz w:val="22"/>
                <w:szCs w:val="22"/>
              </w:rPr>
              <w:t>SIT</w:t>
            </w:r>
            <w:r>
              <w:rPr>
                <w:rFonts w:asciiTheme="minorHAnsi" w:hAnsiTheme="minorHAnsi" w:cstheme="minorHAnsi"/>
                <w:sz w:val="22"/>
                <w:szCs w:val="22"/>
              </w:rPr>
              <w:t>/</w:t>
            </w:r>
            <w:r w:rsidR="000247C3">
              <w:rPr>
                <w:rFonts w:asciiTheme="minorHAnsi" w:hAnsiTheme="minorHAnsi" w:cstheme="minorHAnsi"/>
                <w:sz w:val="22"/>
                <w:szCs w:val="22"/>
              </w:rPr>
              <w:t>NCEZ</w:t>
            </w:r>
            <w:r>
              <w:rPr>
                <w:rFonts w:asciiTheme="minorHAnsi" w:hAnsiTheme="minorHAnsi" w:cstheme="minorHAnsi"/>
                <w:sz w:val="22"/>
                <w:szCs w:val="22"/>
              </w:rPr>
              <w:t>, ÚZIS ČR, TIS</w:t>
            </w:r>
          </w:p>
        </w:tc>
      </w:tr>
      <w:tr w14:paraId="2CAF2C7D" w14:textId="77777777" w:rsidTr="00B22BEC">
        <w:tblPrEx>
          <w:tblW w:w="10201" w:type="dxa"/>
          <w:tblLayout w:type="fixed"/>
          <w:tblCellMar>
            <w:left w:w="70" w:type="dxa"/>
            <w:right w:w="70" w:type="dxa"/>
          </w:tblCellMar>
          <w:tblLook w:val="0000"/>
        </w:tblPrEx>
        <w:trPr>
          <w:trHeight w:val="70"/>
        </w:trPr>
        <w:tc>
          <w:tcPr>
            <w:tcW w:w="1980" w:type="dxa"/>
          </w:tcPr>
          <w:p w:rsidR="00E456D3" w:rsidRPr="00E456D3" w:rsidP="00B22BEC" w14:paraId="69FF3059" w14:textId="64C9FEC6">
            <w:pPr>
              <w:ind w:left="22"/>
              <w:jc w:val="both"/>
              <w:rPr>
                <w:rFonts w:asciiTheme="minorHAnsi" w:hAnsiTheme="minorHAnsi" w:cstheme="minorHAnsi"/>
                <w:sz w:val="22"/>
                <w:szCs w:val="22"/>
              </w:rPr>
            </w:pPr>
            <w:r w:rsidRPr="00E456D3">
              <w:rPr>
                <w:rFonts w:asciiTheme="minorHAnsi" w:hAnsiTheme="minorHAnsi" w:cstheme="minorHAnsi"/>
                <w:sz w:val="22"/>
                <w:szCs w:val="22"/>
              </w:rPr>
              <w:t>Odborné kulaté stoly a konference, semináře na témata řešených dílčích cílů / opatření</w:t>
            </w:r>
          </w:p>
        </w:tc>
        <w:tc>
          <w:tcPr>
            <w:tcW w:w="1417" w:type="dxa"/>
          </w:tcPr>
          <w:p w:rsidR="00E456D3" w:rsidRPr="00E456D3" w:rsidP="00B22BEC" w14:paraId="7DEEBF30" w14:textId="56FF77BE">
            <w:pPr>
              <w:jc w:val="both"/>
              <w:rPr>
                <w:rFonts w:asciiTheme="minorHAnsi" w:hAnsiTheme="minorHAnsi" w:cstheme="minorHAnsi"/>
                <w:sz w:val="22"/>
                <w:szCs w:val="22"/>
              </w:rPr>
            </w:pPr>
            <w:r w:rsidRPr="00E456D3">
              <w:rPr>
                <w:rFonts w:asciiTheme="minorHAnsi" w:hAnsiTheme="minorHAnsi" w:cstheme="minorHAnsi"/>
                <w:sz w:val="22"/>
                <w:szCs w:val="22"/>
              </w:rPr>
              <w:t xml:space="preserve">Odborná pracovní setkání s diskusí </w:t>
            </w:r>
          </w:p>
        </w:tc>
        <w:tc>
          <w:tcPr>
            <w:tcW w:w="1418" w:type="dxa"/>
          </w:tcPr>
          <w:p w:rsidR="00E456D3" w:rsidRPr="00E456D3" w:rsidP="00B22BEC" w14:paraId="4B29941D" w14:textId="437095B6">
            <w:pPr>
              <w:jc w:val="both"/>
              <w:rPr>
                <w:rFonts w:asciiTheme="minorHAnsi" w:hAnsiTheme="minorHAnsi" w:cstheme="minorHAnsi"/>
                <w:sz w:val="22"/>
                <w:szCs w:val="22"/>
              </w:rPr>
            </w:pPr>
            <w:r w:rsidRPr="00E456D3">
              <w:rPr>
                <w:rFonts w:asciiTheme="minorHAnsi" w:hAnsiTheme="minorHAnsi" w:cstheme="minorHAnsi"/>
                <w:sz w:val="22"/>
                <w:szCs w:val="22"/>
              </w:rPr>
              <w:t>Odborná veřejnost, příslušná cílová skupina dílčích cílů</w:t>
            </w:r>
            <w:r w:rsidR="00C74395">
              <w:rPr>
                <w:rFonts w:asciiTheme="minorHAnsi" w:hAnsiTheme="minorHAnsi" w:cstheme="minorHAnsi"/>
                <w:sz w:val="22"/>
                <w:szCs w:val="22"/>
              </w:rPr>
              <w:t>/opatření</w:t>
            </w:r>
          </w:p>
        </w:tc>
        <w:tc>
          <w:tcPr>
            <w:tcW w:w="1417" w:type="dxa"/>
          </w:tcPr>
          <w:p w:rsidR="00E456D3" w:rsidRPr="00E456D3" w:rsidP="00B22BEC" w14:paraId="15240A28" w14:textId="4DCFF03D">
            <w:pPr>
              <w:jc w:val="both"/>
              <w:rPr>
                <w:rFonts w:asciiTheme="minorHAnsi" w:hAnsiTheme="minorHAnsi" w:cstheme="minorHAnsi"/>
                <w:sz w:val="22"/>
                <w:szCs w:val="22"/>
              </w:rPr>
            </w:pPr>
            <w:r w:rsidRPr="00E456D3">
              <w:rPr>
                <w:rFonts w:asciiTheme="minorHAnsi" w:hAnsiTheme="minorHAnsi" w:cstheme="minorHAnsi"/>
                <w:sz w:val="22"/>
                <w:szCs w:val="22"/>
              </w:rPr>
              <w:t>Konference, semináře</w:t>
            </w:r>
          </w:p>
        </w:tc>
        <w:tc>
          <w:tcPr>
            <w:tcW w:w="1560" w:type="dxa"/>
          </w:tcPr>
          <w:p w:rsidR="00E456D3" w:rsidRPr="00E456D3" w:rsidP="00B22BEC" w14:paraId="22A67068" w14:textId="2A0ADAF8">
            <w:pPr>
              <w:jc w:val="both"/>
              <w:rPr>
                <w:rFonts w:asciiTheme="minorHAnsi" w:hAnsiTheme="minorHAnsi" w:cstheme="minorHAnsi"/>
                <w:sz w:val="22"/>
                <w:szCs w:val="22"/>
              </w:rPr>
            </w:pPr>
            <w:r w:rsidRPr="00E456D3">
              <w:rPr>
                <w:rFonts w:asciiTheme="minorHAnsi" w:hAnsiTheme="minorHAnsi" w:cstheme="minorHAnsi"/>
                <w:sz w:val="22"/>
                <w:szCs w:val="22"/>
              </w:rPr>
              <w:t>Průběžné plnění po dobu realizace</w:t>
            </w:r>
          </w:p>
        </w:tc>
        <w:tc>
          <w:tcPr>
            <w:tcW w:w="1134" w:type="dxa"/>
          </w:tcPr>
          <w:p w:rsidR="00EE0D1C" w:rsidRPr="00E456D3" w:rsidP="00B22BEC" w14:paraId="66331162" w14:textId="1CD22632">
            <w:pPr>
              <w:jc w:val="both"/>
              <w:rPr>
                <w:rFonts w:asciiTheme="minorHAnsi" w:hAnsiTheme="minorHAnsi" w:cstheme="minorHAnsi"/>
                <w:sz w:val="22"/>
                <w:szCs w:val="22"/>
              </w:rPr>
            </w:pPr>
            <w:r>
              <w:rPr>
                <w:rFonts w:asciiTheme="minorHAnsi" w:hAnsiTheme="minorHAnsi" w:cstheme="minorHAnsi"/>
                <w:sz w:val="22"/>
                <w:szCs w:val="22"/>
              </w:rPr>
              <w:t>NCEZ</w:t>
            </w:r>
          </w:p>
        </w:tc>
        <w:tc>
          <w:tcPr>
            <w:tcW w:w="1275" w:type="dxa"/>
          </w:tcPr>
          <w:p w:rsidR="00E456D3" w:rsidRPr="00E456D3" w:rsidP="00B22BEC" w14:paraId="502EC101" w14:textId="028EB98C">
            <w:pPr>
              <w:jc w:val="both"/>
              <w:rPr>
                <w:rFonts w:asciiTheme="minorHAnsi" w:hAnsiTheme="minorHAnsi" w:cstheme="minorHAnsi"/>
                <w:sz w:val="22"/>
                <w:szCs w:val="22"/>
              </w:rPr>
            </w:pPr>
            <w:r w:rsidRPr="00E456D3">
              <w:rPr>
                <w:rFonts w:asciiTheme="minorHAnsi" w:hAnsiTheme="minorHAnsi" w:cstheme="minorHAnsi"/>
                <w:sz w:val="22"/>
                <w:szCs w:val="22"/>
              </w:rPr>
              <w:t xml:space="preserve">Příslušná sekce </w:t>
            </w:r>
            <w:r w:rsidR="008C6210">
              <w:rPr>
                <w:rFonts w:asciiTheme="minorHAnsi" w:hAnsiTheme="minorHAnsi" w:cstheme="minorHAnsi"/>
                <w:sz w:val="22"/>
                <w:szCs w:val="22"/>
              </w:rPr>
              <w:t>MZD</w:t>
            </w:r>
            <w:r w:rsidRPr="00E456D3">
              <w:rPr>
                <w:rFonts w:asciiTheme="minorHAnsi" w:hAnsiTheme="minorHAnsi" w:cstheme="minorHAnsi"/>
                <w:sz w:val="22"/>
                <w:szCs w:val="22"/>
              </w:rPr>
              <w:t xml:space="preserve">, </w:t>
            </w:r>
            <w:r w:rsidR="00EE0D1C">
              <w:rPr>
                <w:rFonts w:asciiTheme="minorHAnsi" w:hAnsiTheme="minorHAnsi" w:cstheme="minorHAnsi"/>
                <w:sz w:val="22"/>
                <w:szCs w:val="22"/>
              </w:rPr>
              <w:t>SIT</w:t>
            </w:r>
            <w:r w:rsidRPr="00E456D3">
              <w:rPr>
                <w:rFonts w:asciiTheme="minorHAnsi" w:hAnsiTheme="minorHAnsi" w:cstheme="minorHAnsi"/>
                <w:sz w:val="22"/>
                <w:szCs w:val="22"/>
              </w:rPr>
              <w:t>/</w:t>
            </w:r>
            <w:r w:rsidR="00EE0D1C">
              <w:rPr>
                <w:rFonts w:asciiTheme="minorHAnsi" w:hAnsiTheme="minorHAnsi" w:cstheme="minorHAnsi"/>
                <w:sz w:val="22"/>
                <w:szCs w:val="22"/>
              </w:rPr>
              <w:t>NCEZ</w:t>
            </w:r>
            <w:r w:rsidRPr="00E456D3">
              <w:rPr>
                <w:rFonts w:asciiTheme="minorHAnsi" w:hAnsiTheme="minorHAnsi" w:cstheme="minorHAnsi"/>
                <w:sz w:val="22"/>
                <w:szCs w:val="22"/>
              </w:rPr>
              <w:t>, ÚZIS ČR, TIS</w:t>
            </w:r>
          </w:p>
        </w:tc>
      </w:tr>
      <w:tr w14:paraId="238C9FB6" w14:textId="77777777" w:rsidTr="00B22BEC">
        <w:tblPrEx>
          <w:tblW w:w="10201" w:type="dxa"/>
          <w:tblLayout w:type="fixed"/>
          <w:tblCellMar>
            <w:left w:w="70" w:type="dxa"/>
            <w:right w:w="70" w:type="dxa"/>
          </w:tblCellMar>
          <w:tblLook w:val="0000"/>
        </w:tblPrEx>
        <w:trPr>
          <w:trHeight w:val="70"/>
        </w:trPr>
        <w:tc>
          <w:tcPr>
            <w:tcW w:w="1980" w:type="dxa"/>
          </w:tcPr>
          <w:p w:rsidR="00E456D3" w:rsidRPr="00E456D3" w:rsidP="00B22BEC" w14:paraId="6485329C" w14:textId="2AD47274">
            <w:pPr>
              <w:ind w:left="22"/>
              <w:jc w:val="both"/>
              <w:rPr>
                <w:rFonts w:asciiTheme="minorHAnsi" w:hAnsiTheme="minorHAnsi" w:cstheme="minorHAnsi"/>
                <w:sz w:val="22"/>
                <w:szCs w:val="22"/>
              </w:rPr>
            </w:pPr>
            <w:r w:rsidRPr="00E456D3">
              <w:rPr>
                <w:rFonts w:asciiTheme="minorHAnsi" w:hAnsiTheme="minorHAnsi" w:cstheme="minorHAnsi"/>
                <w:sz w:val="22"/>
                <w:szCs w:val="22"/>
              </w:rPr>
              <w:t>Pracovní setkání a workshopy konkrétní problematiky na témata řešených dílčích cílů / opatření</w:t>
            </w:r>
          </w:p>
        </w:tc>
        <w:tc>
          <w:tcPr>
            <w:tcW w:w="1417" w:type="dxa"/>
          </w:tcPr>
          <w:p w:rsidR="00E456D3" w:rsidRPr="00E456D3" w:rsidP="00B22BEC" w14:paraId="64F37EF5" w14:textId="477036D0">
            <w:pPr>
              <w:jc w:val="both"/>
              <w:rPr>
                <w:rFonts w:asciiTheme="minorHAnsi" w:hAnsiTheme="minorHAnsi" w:cstheme="minorHAnsi"/>
                <w:sz w:val="22"/>
                <w:szCs w:val="22"/>
              </w:rPr>
            </w:pPr>
            <w:r w:rsidRPr="00E456D3">
              <w:rPr>
                <w:rFonts w:asciiTheme="minorHAnsi" w:hAnsiTheme="minorHAnsi" w:cstheme="minorHAnsi"/>
                <w:sz w:val="22"/>
                <w:szCs w:val="22"/>
              </w:rPr>
              <w:t>Odborná pracovní setkání zaměření na prezentaci výsledků</w:t>
            </w:r>
          </w:p>
        </w:tc>
        <w:tc>
          <w:tcPr>
            <w:tcW w:w="1418" w:type="dxa"/>
          </w:tcPr>
          <w:p w:rsidR="00E456D3" w:rsidRPr="00E456D3" w:rsidP="00B22BEC" w14:paraId="6C5A799B" w14:textId="5B229370">
            <w:pPr>
              <w:jc w:val="both"/>
              <w:rPr>
                <w:rFonts w:asciiTheme="minorHAnsi" w:hAnsiTheme="minorHAnsi" w:cstheme="minorHAnsi"/>
                <w:sz w:val="22"/>
                <w:szCs w:val="22"/>
              </w:rPr>
            </w:pPr>
            <w:r w:rsidRPr="00E456D3">
              <w:rPr>
                <w:rFonts w:asciiTheme="minorHAnsi" w:hAnsiTheme="minorHAnsi" w:cstheme="minorHAnsi"/>
                <w:sz w:val="22"/>
                <w:szCs w:val="22"/>
              </w:rPr>
              <w:t>Odborná veřejnost, příslušná cílová skupina dílčích cílů</w:t>
            </w:r>
            <w:r w:rsidR="00C74395">
              <w:rPr>
                <w:rFonts w:asciiTheme="minorHAnsi" w:hAnsiTheme="minorHAnsi" w:cstheme="minorHAnsi"/>
                <w:sz w:val="22"/>
                <w:szCs w:val="22"/>
              </w:rPr>
              <w:t xml:space="preserve"> / opatření</w:t>
            </w:r>
          </w:p>
        </w:tc>
        <w:tc>
          <w:tcPr>
            <w:tcW w:w="1417" w:type="dxa"/>
          </w:tcPr>
          <w:p w:rsidR="00E456D3" w:rsidRPr="00E456D3" w:rsidP="00B22BEC" w14:paraId="65F83222" w14:textId="2A849EB3">
            <w:pPr>
              <w:jc w:val="both"/>
              <w:rPr>
                <w:rFonts w:asciiTheme="minorHAnsi" w:hAnsiTheme="minorHAnsi" w:cstheme="minorHAnsi"/>
                <w:sz w:val="22"/>
                <w:szCs w:val="22"/>
              </w:rPr>
            </w:pPr>
            <w:r w:rsidRPr="00E456D3">
              <w:rPr>
                <w:rFonts w:asciiTheme="minorHAnsi" w:hAnsiTheme="minorHAnsi" w:cstheme="minorHAnsi"/>
                <w:sz w:val="22"/>
                <w:szCs w:val="22"/>
              </w:rPr>
              <w:t xml:space="preserve">Workshopy </w:t>
            </w:r>
          </w:p>
        </w:tc>
        <w:tc>
          <w:tcPr>
            <w:tcW w:w="1560" w:type="dxa"/>
          </w:tcPr>
          <w:p w:rsidR="00E456D3" w:rsidRPr="00E456D3" w:rsidP="00B22BEC" w14:paraId="7DA821E2" w14:textId="1FA93E8D">
            <w:pPr>
              <w:jc w:val="both"/>
              <w:rPr>
                <w:rFonts w:asciiTheme="minorHAnsi" w:hAnsiTheme="minorHAnsi" w:cstheme="minorHAnsi"/>
                <w:sz w:val="22"/>
                <w:szCs w:val="22"/>
              </w:rPr>
            </w:pPr>
            <w:r w:rsidRPr="00E456D3">
              <w:rPr>
                <w:rFonts w:asciiTheme="minorHAnsi" w:hAnsiTheme="minorHAnsi" w:cstheme="minorHAnsi"/>
                <w:sz w:val="22"/>
                <w:szCs w:val="22"/>
              </w:rPr>
              <w:t>Průběžné plnění po dobu realizace</w:t>
            </w:r>
          </w:p>
        </w:tc>
        <w:tc>
          <w:tcPr>
            <w:tcW w:w="1134" w:type="dxa"/>
          </w:tcPr>
          <w:p w:rsidR="00E456D3" w:rsidRPr="00E456D3" w:rsidP="00B22BEC" w14:paraId="3628CBA5" w14:textId="2E0FA0B2">
            <w:pPr>
              <w:jc w:val="both"/>
              <w:rPr>
                <w:rFonts w:asciiTheme="minorHAnsi" w:hAnsiTheme="minorHAnsi" w:cstheme="minorHAnsi"/>
                <w:sz w:val="22"/>
                <w:szCs w:val="22"/>
              </w:rPr>
            </w:pPr>
            <w:r>
              <w:rPr>
                <w:rFonts w:asciiTheme="minorHAnsi" w:hAnsiTheme="minorHAnsi" w:cstheme="minorHAnsi"/>
                <w:sz w:val="22"/>
                <w:szCs w:val="22"/>
              </w:rPr>
              <w:t>NCEZ</w:t>
            </w:r>
          </w:p>
        </w:tc>
        <w:tc>
          <w:tcPr>
            <w:tcW w:w="1275" w:type="dxa"/>
          </w:tcPr>
          <w:p w:rsidR="00E456D3" w:rsidRPr="00E456D3" w:rsidP="00B22BEC" w14:paraId="56194C30" w14:textId="5E04C975">
            <w:pPr>
              <w:jc w:val="both"/>
              <w:rPr>
                <w:rFonts w:asciiTheme="minorHAnsi" w:hAnsiTheme="minorHAnsi" w:cstheme="minorHAnsi"/>
                <w:sz w:val="22"/>
                <w:szCs w:val="22"/>
              </w:rPr>
            </w:pPr>
            <w:r w:rsidRPr="00E456D3">
              <w:rPr>
                <w:rFonts w:asciiTheme="minorHAnsi" w:hAnsiTheme="minorHAnsi" w:cstheme="minorHAnsi"/>
                <w:sz w:val="22"/>
                <w:szCs w:val="22"/>
              </w:rPr>
              <w:t xml:space="preserve">Příslušná sekce </w:t>
            </w:r>
            <w:r w:rsidR="008C6210">
              <w:rPr>
                <w:rFonts w:asciiTheme="minorHAnsi" w:hAnsiTheme="minorHAnsi" w:cstheme="minorHAnsi"/>
                <w:sz w:val="22"/>
                <w:szCs w:val="22"/>
              </w:rPr>
              <w:t>MZD</w:t>
            </w:r>
            <w:r w:rsidRPr="00E456D3">
              <w:rPr>
                <w:rFonts w:asciiTheme="minorHAnsi" w:hAnsiTheme="minorHAnsi" w:cstheme="minorHAnsi"/>
                <w:sz w:val="22"/>
                <w:szCs w:val="22"/>
              </w:rPr>
              <w:t xml:space="preserve">, </w:t>
            </w:r>
            <w:r w:rsidR="00EE0D1C">
              <w:rPr>
                <w:rFonts w:asciiTheme="minorHAnsi" w:hAnsiTheme="minorHAnsi" w:cstheme="minorHAnsi"/>
                <w:sz w:val="22"/>
                <w:szCs w:val="22"/>
              </w:rPr>
              <w:t>SIT</w:t>
            </w:r>
            <w:r w:rsidRPr="00E456D3">
              <w:rPr>
                <w:rFonts w:asciiTheme="minorHAnsi" w:hAnsiTheme="minorHAnsi" w:cstheme="minorHAnsi"/>
                <w:sz w:val="22"/>
                <w:szCs w:val="22"/>
              </w:rPr>
              <w:t>/</w:t>
            </w:r>
            <w:r w:rsidR="00EE0D1C">
              <w:rPr>
                <w:rFonts w:asciiTheme="minorHAnsi" w:hAnsiTheme="minorHAnsi" w:cstheme="minorHAnsi"/>
                <w:sz w:val="22"/>
                <w:szCs w:val="22"/>
              </w:rPr>
              <w:t>NCEZ</w:t>
            </w:r>
            <w:r w:rsidRPr="00E456D3">
              <w:rPr>
                <w:rFonts w:asciiTheme="minorHAnsi" w:hAnsiTheme="minorHAnsi" w:cstheme="minorHAnsi"/>
                <w:sz w:val="22"/>
                <w:szCs w:val="22"/>
              </w:rPr>
              <w:t>, ÚZIS ČR, TIS</w:t>
            </w:r>
          </w:p>
        </w:tc>
      </w:tr>
      <w:tr w14:paraId="2CA3C7C7" w14:textId="77777777" w:rsidTr="00B22BEC">
        <w:tblPrEx>
          <w:tblW w:w="10201" w:type="dxa"/>
          <w:tblLayout w:type="fixed"/>
          <w:tblCellMar>
            <w:left w:w="70" w:type="dxa"/>
            <w:right w:w="70" w:type="dxa"/>
          </w:tblCellMar>
          <w:tblLook w:val="0000"/>
        </w:tblPrEx>
        <w:trPr>
          <w:trHeight w:val="70"/>
        </w:trPr>
        <w:tc>
          <w:tcPr>
            <w:tcW w:w="1980" w:type="dxa"/>
          </w:tcPr>
          <w:p w:rsidR="00E456D3" w:rsidRPr="00E456D3" w:rsidP="00B22BEC" w14:paraId="063163FE" w14:textId="4C10E4FC">
            <w:pPr>
              <w:ind w:left="22"/>
              <w:jc w:val="both"/>
              <w:rPr>
                <w:rFonts w:asciiTheme="minorHAnsi" w:hAnsiTheme="minorHAnsi" w:cstheme="minorHAnsi"/>
                <w:sz w:val="22"/>
                <w:szCs w:val="22"/>
              </w:rPr>
            </w:pPr>
            <w:r w:rsidRPr="00E456D3">
              <w:rPr>
                <w:rFonts w:asciiTheme="minorHAnsi" w:hAnsiTheme="minorHAnsi" w:cstheme="minorHAnsi"/>
                <w:sz w:val="22"/>
                <w:szCs w:val="22"/>
              </w:rPr>
              <w:t>Odborně zaměřené webové stránky</w:t>
            </w:r>
            <w:r w:rsidRPr="00E456D3">
              <w:rPr>
                <w:rFonts w:ascii="Calibri" w:eastAsia="Calibri" w:hAnsi="Calibri" w:cs="Calibri"/>
                <w:sz w:val="20"/>
                <w:szCs w:val="20"/>
              </w:rPr>
              <w:t xml:space="preserve">   </w:t>
            </w:r>
          </w:p>
        </w:tc>
        <w:tc>
          <w:tcPr>
            <w:tcW w:w="1417" w:type="dxa"/>
          </w:tcPr>
          <w:p w:rsidR="00E456D3" w:rsidRPr="00E456D3" w:rsidP="00B22BEC" w14:paraId="2FD5BC19" w14:textId="5D0BBD9F">
            <w:pPr>
              <w:jc w:val="both"/>
              <w:rPr>
                <w:rFonts w:asciiTheme="minorHAnsi" w:hAnsiTheme="minorHAnsi" w:cstheme="minorHAnsi"/>
                <w:sz w:val="22"/>
                <w:szCs w:val="22"/>
              </w:rPr>
            </w:pPr>
            <w:r w:rsidRPr="00E456D3">
              <w:rPr>
                <w:rFonts w:asciiTheme="minorHAnsi" w:hAnsiTheme="minorHAnsi" w:cstheme="minorHAnsi"/>
                <w:sz w:val="22"/>
                <w:szCs w:val="22"/>
              </w:rPr>
              <w:t>Prezentace výstupů</w:t>
            </w:r>
          </w:p>
        </w:tc>
        <w:tc>
          <w:tcPr>
            <w:tcW w:w="1418" w:type="dxa"/>
          </w:tcPr>
          <w:p w:rsidR="00E456D3" w:rsidRPr="00E456D3" w:rsidP="00B22BEC" w14:paraId="359DE718" w14:textId="5B562A45">
            <w:pPr>
              <w:jc w:val="both"/>
              <w:rPr>
                <w:rFonts w:asciiTheme="minorHAnsi" w:hAnsiTheme="minorHAnsi" w:cstheme="minorHAnsi"/>
                <w:sz w:val="22"/>
                <w:szCs w:val="22"/>
              </w:rPr>
            </w:pPr>
            <w:r w:rsidRPr="00E456D3">
              <w:rPr>
                <w:rFonts w:asciiTheme="minorHAnsi" w:hAnsiTheme="minorHAnsi" w:cstheme="minorHAnsi"/>
                <w:sz w:val="22"/>
                <w:szCs w:val="22"/>
              </w:rPr>
              <w:t>Odborná veřejnost, příslušná cílová skupina dílčích cílů</w:t>
            </w:r>
            <w:r w:rsidR="00C74395">
              <w:rPr>
                <w:rFonts w:asciiTheme="minorHAnsi" w:hAnsiTheme="minorHAnsi" w:cstheme="minorHAnsi"/>
                <w:sz w:val="22"/>
                <w:szCs w:val="22"/>
              </w:rPr>
              <w:t xml:space="preserve"> / opatření</w:t>
            </w:r>
          </w:p>
        </w:tc>
        <w:tc>
          <w:tcPr>
            <w:tcW w:w="1417" w:type="dxa"/>
          </w:tcPr>
          <w:p w:rsidR="00E456D3" w:rsidRPr="00E456D3" w:rsidP="00B22BEC" w14:paraId="05B75FA9" w14:textId="342529C8">
            <w:pPr>
              <w:jc w:val="both"/>
              <w:rPr>
                <w:rFonts w:asciiTheme="minorHAnsi" w:hAnsiTheme="minorHAnsi" w:cstheme="minorHAnsi"/>
                <w:sz w:val="22"/>
                <w:szCs w:val="22"/>
              </w:rPr>
            </w:pPr>
            <w:r w:rsidRPr="00E456D3">
              <w:rPr>
                <w:rFonts w:asciiTheme="minorHAnsi" w:hAnsiTheme="minorHAnsi" w:cstheme="minorHAnsi"/>
                <w:sz w:val="22"/>
                <w:szCs w:val="22"/>
              </w:rPr>
              <w:t>Webová prezentace výsledků dílčích cílů</w:t>
            </w:r>
          </w:p>
        </w:tc>
        <w:tc>
          <w:tcPr>
            <w:tcW w:w="1560" w:type="dxa"/>
          </w:tcPr>
          <w:p w:rsidR="00E456D3" w:rsidRPr="00E456D3" w:rsidP="00B22BEC" w14:paraId="66DD84FF" w14:textId="5B4B988F">
            <w:pPr>
              <w:jc w:val="both"/>
              <w:rPr>
                <w:rFonts w:asciiTheme="minorHAnsi" w:hAnsiTheme="minorHAnsi" w:cstheme="minorHAnsi"/>
                <w:sz w:val="22"/>
                <w:szCs w:val="22"/>
              </w:rPr>
            </w:pPr>
            <w:r w:rsidRPr="00E456D3">
              <w:rPr>
                <w:rFonts w:asciiTheme="minorHAnsi" w:hAnsiTheme="minorHAnsi" w:cstheme="minorHAnsi"/>
                <w:sz w:val="22"/>
                <w:szCs w:val="22"/>
              </w:rPr>
              <w:t>Průběžné plnění po dobu realizace</w:t>
            </w:r>
          </w:p>
        </w:tc>
        <w:tc>
          <w:tcPr>
            <w:tcW w:w="1134" w:type="dxa"/>
          </w:tcPr>
          <w:p w:rsidR="00E456D3" w:rsidRPr="00E456D3" w:rsidP="00B22BEC" w14:paraId="5B442A17" w14:textId="076A037D">
            <w:pPr>
              <w:jc w:val="both"/>
              <w:rPr>
                <w:rFonts w:asciiTheme="minorHAnsi" w:hAnsiTheme="minorHAnsi" w:cstheme="minorHAnsi"/>
                <w:sz w:val="22"/>
                <w:szCs w:val="22"/>
              </w:rPr>
            </w:pPr>
            <w:r>
              <w:rPr>
                <w:rFonts w:asciiTheme="minorHAnsi" w:hAnsiTheme="minorHAnsi" w:cstheme="minorHAnsi"/>
                <w:sz w:val="22"/>
                <w:szCs w:val="22"/>
              </w:rPr>
              <w:t>NCEZ</w:t>
            </w:r>
            <w:r w:rsidRPr="00E456D3">
              <w:rPr>
                <w:rFonts w:asciiTheme="minorHAnsi" w:hAnsiTheme="minorHAnsi" w:cstheme="minorHAnsi"/>
                <w:sz w:val="22"/>
                <w:szCs w:val="22"/>
              </w:rPr>
              <w:t>, TIS</w:t>
            </w:r>
          </w:p>
        </w:tc>
        <w:tc>
          <w:tcPr>
            <w:tcW w:w="1275" w:type="dxa"/>
          </w:tcPr>
          <w:p w:rsidR="00E456D3" w:rsidRPr="00E456D3" w:rsidP="00B22BEC" w14:paraId="610F8D12" w14:textId="018EB4CD">
            <w:pPr>
              <w:jc w:val="both"/>
              <w:rPr>
                <w:rFonts w:asciiTheme="minorHAnsi" w:hAnsiTheme="minorHAnsi" w:cstheme="minorHAnsi"/>
                <w:sz w:val="22"/>
                <w:szCs w:val="22"/>
              </w:rPr>
            </w:pPr>
            <w:r>
              <w:rPr>
                <w:rFonts w:asciiTheme="minorHAnsi" w:hAnsiTheme="minorHAnsi" w:cstheme="minorHAnsi"/>
                <w:sz w:val="22"/>
                <w:szCs w:val="22"/>
              </w:rPr>
              <w:t>SIT</w:t>
            </w:r>
            <w:r w:rsidRPr="00E456D3">
              <w:rPr>
                <w:rFonts w:asciiTheme="minorHAnsi" w:hAnsiTheme="minorHAnsi" w:cstheme="minorHAnsi"/>
                <w:sz w:val="22"/>
                <w:szCs w:val="22"/>
              </w:rPr>
              <w:t>/</w:t>
            </w:r>
            <w:r>
              <w:rPr>
                <w:rFonts w:asciiTheme="minorHAnsi" w:hAnsiTheme="minorHAnsi" w:cstheme="minorHAnsi"/>
                <w:sz w:val="22"/>
                <w:szCs w:val="22"/>
              </w:rPr>
              <w:t>NCEZ</w:t>
            </w:r>
            <w:r w:rsidRPr="00E456D3">
              <w:rPr>
                <w:rFonts w:asciiTheme="minorHAnsi" w:hAnsiTheme="minorHAnsi" w:cstheme="minorHAnsi"/>
                <w:sz w:val="22"/>
                <w:szCs w:val="22"/>
              </w:rPr>
              <w:t>, TIS</w:t>
            </w:r>
          </w:p>
        </w:tc>
      </w:tr>
    </w:tbl>
    <w:p w:rsidR="009625C5" w:rsidRPr="00C24606" w:rsidP="00FB4FC8" w14:paraId="4F0B106E" w14:textId="665B92E0">
      <w:pPr>
        <w:spacing w:line="276" w:lineRule="auto"/>
        <w:jc w:val="both"/>
        <w:rPr>
          <w:rFonts w:asciiTheme="minorHAnsi" w:hAnsiTheme="minorHAnsi" w:cstheme="minorHAnsi"/>
        </w:rPr>
      </w:pPr>
    </w:p>
    <w:p w:rsidR="003E7EB8" w14:paraId="11E96BFE" w14:textId="2C9AA47D">
      <w:pPr>
        <w:rPr>
          <w:rFonts w:asciiTheme="minorHAnsi" w:hAnsiTheme="minorHAnsi" w:cstheme="minorHAnsi"/>
          <w:b/>
        </w:rPr>
      </w:pPr>
      <w:r>
        <w:rPr>
          <w:rFonts w:asciiTheme="minorHAnsi" w:hAnsiTheme="minorHAnsi" w:cstheme="minorHAnsi"/>
          <w:b/>
        </w:rPr>
        <w:br w:type="page"/>
      </w:r>
    </w:p>
    <w:p w:rsidR="00B70D43" w:rsidRPr="00C24606" w:rsidP="00C709C0" w14:paraId="43A51133" w14:textId="77777777">
      <w:pPr>
        <w:jc w:val="both"/>
        <w:rPr>
          <w:rFonts w:asciiTheme="minorHAnsi" w:hAnsiTheme="minorHAnsi" w:cstheme="minorHAnsi"/>
          <w:b/>
        </w:rPr>
      </w:pPr>
    </w:p>
    <w:p w:rsidR="003E7EB8" w:rsidP="003E7EB8" w14:paraId="73892FC2" w14:textId="77777777">
      <w:pPr>
        <w:pStyle w:val="Bntext"/>
        <w:spacing w:before="0" w:after="0"/>
        <w:ind w:firstLine="0"/>
        <w:rPr>
          <w:rFonts w:asciiTheme="minorHAnsi" w:hAnsiTheme="minorHAnsi" w:cs="Arial"/>
          <w:b/>
          <w:sz w:val="24"/>
          <w:lang w:val="cs-CZ"/>
        </w:rPr>
      </w:pPr>
      <w:r w:rsidRPr="009A1524">
        <w:rPr>
          <w:rFonts w:asciiTheme="minorHAnsi" w:hAnsiTheme="minorHAnsi" w:cs="Arial"/>
          <w:b/>
          <w:sz w:val="24"/>
          <w:lang w:val="cs-CZ"/>
        </w:rPr>
        <w:t>Seznam zkratek</w:t>
      </w:r>
    </w:p>
    <w:p w:rsidR="003E7EB8" w:rsidP="003E7EB8" w14:paraId="70FA1198" w14:textId="77777777">
      <w:pPr>
        <w:pStyle w:val="Bntext"/>
        <w:spacing w:before="0" w:after="0"/>
        <w:ind w:firstLine="0"/>
        <w:rPr>
          <w:rFonts w:asciiTheme="minorHAnsi" w:hAnsiTheme="minorHAnsi" w:cs="Arial"/>
          <w:b/>
          <w:sz w:val="24"/>
          <w:lang w:val="cs-CZ"/>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3"/>
        <w:gridCol w:w="7229"/>
      </w:tblGrid>
      <w:tr w14:paraId="294F3B6C" w14:textId="77777777" w:rsidTr="008A2E4A">
        <w:tblPrEx>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843" w:type="dxa"/>
            <w:shd w:val="clear" w:color="auto" w:fill="auto"/>
            <w:noWrap/>
            <w:vAlign w:val="bottom"/>
            <w:hideMark/>
          </w:tcPr>
          <w:p w:rsidR="003E7EB8" w:rsidP="008A2E4A" w14:paraId="4481F89E" w14:textId="77777777">
            <w:pPr>
              <w:rPr>
                <w:rFonts w:ascii="Calibri" w:hAnsi="Calibri"/>
                <w:color w:val="000000"/>
                <w:sz w:val="22"/>
                <w:szCs w:val="22"/>
              </w:rPr>
            </w:pPr>
            <w:r>
              <w:rPr>
                <w:rFonts w:ascii="Calibri" w:hAnsi="Calibri"/>
                <w:color w:val="000000"/>
                <w:sz w:val="22"/>
                <w:szCs w:val="22"/>
              </w:rPr>
              <w:t>AZV</w:t>
            </w:r>
          </w:p>
        </w:tc>
        <w:tc>
          <w:tcPr>
            <w:tcW w:w="7229" w:type="dxa"/>
            <w:shd w:val="clear" w:color="auto" w:fill="auto"/>
            <w:noWrap/>
            <w:vAlign w:val="bottom"/>
            <w:hideMark/>
          </w:tcPr>
          <w:p w:rsidR="003E7EB8" w:rsidP="008A2E4A" w14:paraId="492B9DBD" w14:textId="77777777">
            <w:pPr>
              <w:rPr>
                <w:rFonts w:ascii="Calibri" w:hAnsi="Calibri"/>
                <w:color w:val="000000"/>
                <w:sz w:val="22"/>
                <w:szCs w:val="22"/>
              </w:rPr>
            </w:pPr>
            <w:r>
              <w:rPr>
                <w:rFonts w:ascii="Calibri" w:hAnsi="Calibri"/>
                <w:color w:val="000000"/>
                <w:sz w:val="22"/>
                <w:szCs w:val="22"/>
              </w:rPr>
              <w:t xml:space="preserve">Agentura pro zdravotnický výzkum </w:t>
            </w:r>
          </w:p>
        </w:tc>
      </w:tr>
      <w:tr w14:paraId="56EE8DF2"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3E7EB8" w:rsidP="008A2E4A" w14:paraId="3427F259" w14:textId="77777777">
            <w:pPr>
              <w:rPr>
                <w:rFonts w:ascii="Calibri" w:hAnsi="Calibri"/>
                <w:color w:val="000000"/>
                <w:sz w:val="22"/>
                <w:szCs w:val="22"/>
              </w:rPr>
            </w:pPr>
            <w:r>
              <w:rPr>
                <w:rFonts w:ascii="Calibri" w:hAnsi="Calibri"/>
                <w:color w:val="000000"/>
                <w:sz w:val="22"/>
                <w:szCs w:val="22"/>
              </w:rPr>
              <w:t>ČLS JEP</w:t>
            </w:r>
          </w:p>
        </w:tc>
        <w:tc>
          <w:tcPr>
            <w:tcW w:w="7229" w:type="dxa"/>
            <w:shd w:val="clear" w:color="auto" w:fill="auto"/>
            <w:noWrap/>
            <w:vAlign w:val="bottom"/>
            <w:hideMark/>
          </w:tcPr>
          <w:p w:rsidR="003E7EB8" w:rsidP="008A2E4A" w14:paraId="7B89221C" w14:textId="77777777">
            <w:pPr>
              <w:rPr>
                <w:rFonts w:ascii="Calibri" w:hAnsi="Calibri"/>
                <w:color w:val="000000"/>
              </w:rPr>
            </w:pPr>
            <w:r>
              <w:rPr>
                <w:rFonts w:ascii="Calibri" w:hAnsi="Calibri"/>
                <w:color w:val="000000"/>
              </w:rPr>
              <w:t xml:space="preserve">Česká lékařská společnost Jana Evangelisty Purkyně </w:t>
            </w:r>
          </w:p>
        </w:tc>
      </w:tr>
      <w:tr w14:paraId="5EE38DBB"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18C86DD5" w14:textId="77777777">
            <w:pPr>
              <w:rPr>
                <w:rFonts w:ascii="Calibri" w:hAnsi="Calibri"/>
                <w:color w:val="000000"/>
                <w:sz w:val="22"/>
                <w:szCs w:val="22"/>
              </w:rPr>
            </w:pPr>
            <w:r>
              <w:rPr>
                <w:rFonts w:ascii="Calibri" w:hAnsi="Calibri"/>
                <w:color w:val="000000"/>
                <w:sz w:val="22"/>
                <w:szCs w:val="22"/>
              </w:rPr>
              <w:t>ČR</w:t>
            </w:r>
          </w:p>
        </w:tc>
        <w:tc>
          <w:tcPr>
            <w:tcW w:w="7229" w:type="dxa"/>
            <w:shd w:val="clear" w:color="auto" w:fill="auto"/>
            <w:noWrap/>
            <w:vAlign w:val="bottom"/>
            <w:hideMark/>
          </w:tcPr>
          <w:p w:rsidR="003E7EB8" w:rsidP="008A2E4A" w14:paraId="5C2A53F4" w14:textId="77777777">
            <w:pPr>
              <w:rPr>
                <w:rFonts w:ascii="Calibri" w:hAnsi="Calibri"/>
                <w:color w:val="000000"/>
                <w:sz w:val="22"/>
                <w:szCs w:val="22"/>
              </w:rPr>
            </w:pPr>
            <w:r>
              <w:rPr>
                <w:rFonts w:ascii="Calibri" w:hAnsi="Calibri"/>
                <w:color w:val="000000"/>
                <w:sz w:val="22"/>
                <w:szCs w:val="22"/>
              </w:rPr>
              <w:t>Česká republika</w:t>
            </w:r>
          </w:p>
        </w:tc>
      </w:tr>
      <w:tr w14:paraId="01C080DE"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5AC133D2" w14:textId="77777777">
            <w:pPr>
              <w:rPr>
                <w:rFonts w:ascii="Calibri" w:hAnsi="Calibri"/>
                <w:color w:val="000000"/>
                <w:sz w:val="22"/>
                <w:szCs w:val="22"/>
              </w:rPr>
            </w:pPr>
            <w:r>
              <w:rPr>
                <w:rFonts w:ascii="Calibri" w:hAnsi="Calibri"/>
                <w:color w:val="000000"/>
                <w:sz w:val="22"/>
                <w:szCs w:val="22"/>
              </w:rPr>
              <w:t>DC</w:t>
            </w:r>
          </w:p>
        </w:tc>
        <w:tc>
          <w:tcPr>
            <w:tcW w:w="7229" w:type="dxa"/>
            <w:shd w:val="clear" w:color="auto" w:fill="auto"/>
            <w:noWrap/>
            <w:vAlign w:val="bottom"/>
            <w:hideMark/>
          </w:tcPr>
          <w:p w:rsidR="003E7EB8" w:rsidP="008A2E4A" w14:paraId="40EDE6EA" w14:textId="77777777">
            <w:pPr>
              <w:rPr>
                <w:rFonts w:ascii="Calibri" w:hAnsi="Calibri"/>
                <w:color w:val="000000"/>
                <w:sz w:val="22"/>
                <w:szCs w:val="22"/>
              </w:rPr>
            </w:pPr>
            <w:r>
              <w:rPr>
                <w:rFonts w:ascii="Calibri" w:hAnsi="Calibri"/>
                <w:color w:val="000000"/>
                <w:sz w:val="22"/>
                <w:szCs w:val="22"/>
              </w:rPr>
              <w:t>Dílčí cíl</w:t>
            </w:r>
          </w:p>
        </w:tc>
      </w:tr>
      <w:tr w14:paraId="6519BC89"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511C80AA" w14:textId="77777777">
            <w:pPr>
              <w:rPr>
                <w:rFonts w:ascii="Calibri" w:hAnsi="Calibri"/>
                <w:color w:val="000000"/>
                <w:sz w:val="22"/>
                <w:szCs w:val="22"/>
              </w:rPr>
            </w:pPr>
            <w:r>
              <w:rPr>
                <w:rFonts w:ascii="Calibri" w:hAnsi="Calibri"/>
                <w:color w:val="000000"/>
                <w:sz w:val="22"/>
                <w:szCs w:val="22"/>
              </w:rPr>
              <w:t>EHP</w:t>
            </w:r>
          </w:p>
        </w:tc>
        <w:tc>
          <w:tcPr>
            <w:tcW w:w="7229" w:type="dxa"/>
            <w:shd w:val="clear" w:color="auto" w:fill="auto"/>
            <w:noWrap/>
            <w:vAlign w:val="bottom"/>
            <w:hideMark/>
          </w:tcPr>
          <w:p w:rsidR="003E7EB8" w:rsidP="008A2E4A" w14:paraId="4D80E68E" w14:textId="77777777">
            <w:pPr>
              <w:rPr>
                <w:rFonts w:ascii="Calibri" w:hAnsi="Calibri"/>
                <w:color w:val="000000"/>
                <w:sz w:val="22"/>
                <w:szCs w:val="22"/>
              </w:rPr>
            </w:pPr>
            <w:r>
              <w:rPr>
                <w:rFonts w:ascii="Calibri" w:hAnsi="Calibri"/>
                <w:color w:val="000000"/>
                <w:sz w:val="22"/>
                <w:szCs w:val="22"/>
              </w:rPr>
              <w:t>Evropský hospodářský prostor</w:t>
            </w:r>
          </w:p>
        </w:tc>
      </w:tr>
      <w:tr w14:paraId="54BCA436"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762C3A4" w14:textId="77777777">
            <w:pPr>
              <w:rPr>
                <w:rFonts w:ascii="Calibri" w:hAnsi="Calibri"/>
                <w:color w:val="000000"/>
                <w:sz w:val="22"/>
                <w:szCs w:val="22"/>
              </w:rPr>
            </w:pPr>
            <w:r>
              <w:rPr>
                <w:rFonts w:ascii="Calibri" w:hAnsi="Calibri"/>
                <w:color w:val="000000"/>
                <w:sz w:val="22"/>
                <w:szCs w:val="22"/>
              </w:rPr>
              <w:t>EU</w:t>
            </w:r>
          </w:p>
        </w:tc>
        <w:tc>
          <w:tcPr>
            <w:tcW w:w="7229" w:type="dxa"/>
            <w:shd w:val="clear" w:color="auto" w:fill="auto"/>
            <w:noWrap/>
            <w:vAlign w:val="bottom"/>
            <w:hideMark/>
          </w:tcPr>
          <w:p w:rsidR="003E7EB8" w:rsidP="008A2E4A" w14:paraId="12F82553" w14:textId="77777777">
            <w:pPr>
              <w:rPr>
                <w:rFonts w:ascii="Calibri" w:hAnsi="Calibri"/>
                <w:color w:val="000000"/>
                <w:sz w:val="22"/>
                <w:szCs w:val="22"/>
              </w:rPr>
            </w:pPr>
            <w:r>
              <w:rPr>
                <w:rFonts w:ascii="Calibri" w:hAnsi="Calibri"/>
                <w:color w:val="000000"/>
                <w:sz w:val="22"/>
                <w:szCs w:val="22"/>
              </w:rPr>
              <w:t>Evropská unie</w:t>
            </w:r>
          </w:p>
        </w:tc>
      </w:tr>
      <w:tr w14:paraId="0CAE14EC"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63F49B42" w14:textId="77777777">
            <w:pPr>
              <w:rPr>
                <w:rFonts w:ascii="Calibri" w:hAnsi="Calibri"/>
                <w:color w:val="000000"/>
                <w:sz w:val="22"/>
                <w:szCs w:val="22"/>
              </w:rPr>
            </w:pPr>
            <w:r>
              <w:rPr>
                <w:rFonts w:ascii="Calibri" w:hAnsi="Calibri"/>
                <w:color w:val="000000"/>
                <w:sz w:val="22"/>
                <w:szCs w:val="22"/>
              </w:rPr>
              <w:t>HH</w:t>
            </w:r>
          </w:p>
        </w:tc>
        <w:tc>
          <w:tcPr>
            <w:tcW w:w="7229" w:type="dxa"/>
            <w:shd w:val="clear" w:color="auto" w:fill="auto"/>
            <w:noWrap/>
            <w:vAlign w:val="bottom"/>
            <w:hideMark/>
          </w:tcPr>
          <w:p w:rsidR="003E7EB8" w:rsidP="008A2E4A" w14:paraId="39F5258B" w14:textId="77777777">
            <w:pPr>
              <w:rPr>
                <w:rFonts w:ascii="Calibri" w:hAnsi="Calibri"/>
                <w:color w:val="000000"/>
                <w:sz w:val="22"/>
                <w:szCs w:val="22"/>
              </w:rPr>
            </w:pPr>
            <w:r>
              <w:rPr>
                <w:rFonts w:ascii="Calibri" w:hAnsi="Calibri"/>
                <w:color w:val="000000"/>
                <w:sz w:val="22"/>
                <w:szCs w:val="22"/>
              </w:rPr>
              <w:t>Hlavní hygienik ČR</w:t>
            </w:r>
          </w:p>
        </w:tc>
      </w:tr>
      <w:tr w14:paraId="2F817C19"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0D6569E5" w14:textId="77777777">
            <w:pPr>
              <w:rPr>
                <w:rFonts w:ascii="Calibri" w:hAnsi="Calibri"/>
                <w:color w:val="000000"/>
                <w:sz w:val="22"/>
                <w:szCs w:val="22"/>
              </w:rPr>
            </w:pPr>
            <w:r>
              <w:rPr>
                <w:rFonts w:ascii="Calibri" w:hAnsi="Calibri"/>
                <w:color w:val="000000"/>
                <w:sz w:val="22"/>
                <w:szCs w:val="22"/>
              </w:rPr>
              <w:t xml:space="preserve">IP </w:t>
            </w:r>
          </w:p>
        </w:tc>
        <w:tc>
          <w:tcPr>
            <w:tcW w:w="7229" w:type="dxa"/>
            <w:shd w:val="clear" w:color="auto" w:fill="auto"/>
            <w:noWrap/>
            <w:vAlign w:val="bottom"/>
            <w:hideMark/>
          </w:tcPr>
          <w:p w:rsidR="003E7EB8" w:rsidP="008A2E4A" w14:paraId="069C2699" w14:textId="77777777">
            <w:pPr>
              <w:rPr>
                <w:rFonts w:ascii="Calibri" w:hAnsi="Calibri"/>
                <w:color w:val="000000"/>
                <w:sz w:val="22"/>
                <w:szCs w:val="22"/>
              </w:rPr>
            </w:pPr>
            <w:r>
              <w:rPr>
                <w:rFonts w:ascii="Calibri" w:hAnsi="Calibri"/>
                <w:color w:val="000000"/>
                <w:sz w:val="22"/>
                <w:szCs w:val="22"/>
              </w:rPr>
              <w:t>Implementační plán</w:t>
            </w:r>
          </w:p>
        </w:tc>
      </w:tr>
      <w:tr w14:paraId="5DB3A22C"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15828D9F" w14:textId="77777777">
            <w:pPr>
              <w:rPr>
                <w:rFonts w:ascii="Calibri" w:hAnsi="Calibri"/>
                <w:color w:val="000000"/>
                <w:sz w:val="22"/>
                <w:szCs w:val="22"/>
              </w:rPr>
            </w:pPr>
            <w:r>
              <w:rPr>
                <w:rFonts w:ascii="Calibri" w:hAnsi="Calibri"/>
                <w:color w:val="000000"/>
                <w:sz w:val="22"/>
                <w:szCs w:val="22"/>
              </w:rPr>
              <w:t>IPVZ</w:t>
            </w:r>
          </w:p>
        </w:tc>
        <w:tc>
          <w:tcPr>
            <w:tcW w:w="7229" w:type="dxa"/>
            <w:shd w:val="clear" w:color="auto" w:fill="auto"/>
            <w:noWrap/>
            <w:vAlign w:val="bottom"/>
            <w:hideMark/>
          </w:tcPr>
          <w:p w:rsidR="003E7EB8" w:rsidP="008A2E4A" w14:paraId="4C7FCBA0" w14:textId="77777777">
            <w:pPr>
              <w:rPr>
                <w:rFonts w:ascii="Calibri" w:hAnsi="Calibri"/>
                <w:color w:val="000000"/>
                <w:sz w:val="22"/>
                <w:szCs w:val="22"/>
              </w:rPr>
            </w:pPr>
            <w:r>
              <w:rPr>
                <w:rFonts w:ascii="Calibri" w:hAnsi="Calibri"/>
                <w:color w:val="000000"/>
                <w:sz w:val="22"/>
                <w:szCs w:val="22"/>
              </w:rPr>
              <w:t xml:space="preserve">Institut postgraduálního vzdělávání ve zdravotnictví </w:t>
            </w:r>
          </w:p>
        </w:tc>
      </w:tr>
      <w:tr w14:paraId="4898AB96"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4F616526" w14:textId="77777777">
            <w:pPr>
              <w:rPr>
                <w:rFonts w:ascii="Calibri" w:hAnsi="Calibri"/>
                <w:color w:val="000000"/>
                <w:sz w:val="22"/>
                <w:szCs w:val="22"/>
              </w:rPr>
            </w:pPr>
            <w:r>
              <w:rPr>
                <w:rFonts w:ascii="Calibri" w:hAnsi="Calibri"/>
                <w:color w:val="000000"/>
                <w:sz w:val="22"/>
                <w:szCs w:val="22"/>
              </w:rPr>
              <w:t>ISIN</w:t>
            </w:r>
          </w:p>
        </w:tc>
        <w:tc>
          <w:tcPr>
            <w:tcW w:w="7229" w:type="dxa"/>
            <w:shd w:val="clear" w:color="auto" w:fill="auto"/>
            <w:noWrap/>
            <w:vAlign w:val="bottom"/>
            <w:hideMark/>
          </w:tcPr>
          <w:p w:rsidR="003E7EB8" w:rsidP="008A2E4A" w14:paraId="6672439C" w14:textId="77777777">
            <w:pPr>
              <w:rPr>
                <w:rFonts w:ascii="Calibri" w:hAnsi="Calibri"/>
                <w:color w:val="000000"/>
                <w:sz w:val="22"/>
                <w:szCs w:val="22"/>
              </w:rPr>
            </w:pPr>
            <w:r>
              <w:rPr>
                <w:rFonts w:ascii="Calibri" w:hAnsi="Calibri"/>
                <w:color w:val="000000"/>
                <w:sz w:val="22"/>
                <w:szCs w:val="22"/>
              </w:rPr>
              <w:t xml:space="preserve">Informační systém infekčních nemocí </w:t>
            </w:r>
          </w:p>
        </w:tc>
      </w:tr>
      <w:tr w14:paraId="018C71BA"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3FB7342" w14:textId="77777777">
            <w:pPr>
              <w:rPr>
                <w:rFonts w:ascii="Calibri" w:hAnsi="Calibri"/>
                <w:color w:val="000000"/>
                <w:sz w:val="22"/>
                <w:szCs w:val="22"/>
              </w:rPr>
            </w:pPr>
            <w:r>
              <w:rPr>
                <w:rFonts w:ascii="Calibri" w:hAnsi="Calibri"/>
                <w:color w:val="000000"/>
                <w:sz w:val="22"/>
                <w:szCs w:val="22"/>
              </w:rPr>
              <w:t>KHS</w:t>
            </w:r>
          </w:p>
        </w:tc>
        <w:tc>
          <w:tcPr>
            <w:tcW w:w="7229" w:type="dxa"/>
            <w:shd w:val="clear" w:color="auto" w:fill="auto"/>
            <w:noWrap/>
            <w:vAlign w:val="bottom"/>
            <w:hideMark/>
          </w:tcPr>
          <w:p w:rsidR="003E7EB8" w:rsidP="008A2E4A" w14:paraId="008175AF" w14:textId="77777777">
            <w:pPr>
              <w:rPr>
                <w:rFonts w:ascii="Calibri" w:hAnsi="Calibri"/>
                <w:color w:val="000000"/>
                <w:sz w:val="22"/>
                <w:szCs w:val="22"/>
              </w:rPr>
            </w:pPr>
            <w:r>
              <w:rPr>
                <w:rFonts w:ascii="Calibri" w:hAnsi="Calibri"/>
                <w:color w:val="000000"/>
                <w:sz w:val="22"/>
                <w:szCs w:val="22"/>
              </w:rPr>
              <w:t>Krajská hygienická stanice</w:t>
            </w:r>
          </w:p>
        </w:tc>
      </w:tr>
      <w:tr w14:paraId="07F108F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03F39410" w14:textId="77777777">
            <w:pPr>
              <w:rPr>
                <w:rFonts w:ascii="Calibri" w:hAnsi="Calibri"/>
                <w:color w:val="000000"/>
                <w:sz w:val="22"/>
                <w:szCs w:val="22"/>
              </w:rPr>
            </w:pPr>
            <w:r>
              <w:rPr>
                <w:rFonts w:ascii="Calibri" w:hAnsi="Calibri"/>
                <w:color w:val="000000"/>
                <w:sz w:val="22"/>
                <w:szCs w:val="22"/>
              </w:rPr>
              <w:t>MF</w:t>
            </w:r>
          </w:p>
        </w:tc>
        <w:tc>
          <w:tcPr>
            <w:tcW w:w="7229" w:type="dxa"/>
            <w:shd w:val="clear" w:color="auto" w:fill="auto"/>
            <w:noWrap/>
            <w:vAlign w:val="bottom"/>
            <w:hideMark/>
          </w:tcPr>
          <w:p w:rsidR="003E7EB8" w:rsidP="008A2E4A" w14:paraId="3283DE39" w14:textId="77777777">
            <w:pPr>
              <w:rPr>
                <w:rFonts w:ascii="Calibri" w:hAnsi="Calibri"/>
                <w:color w:val="000000"/>
                <w:sz w:val="22"/>
                <w:szCs w:val="22"/>
              </w:rPr>
            </w:pPr>
            <w:r>
              <w:rPr>
                <w:rFonts w:ascii="Calibri" w:hAnsi="Calibri"/>
                <w:color w:val="000000"/>
                <w:sz w:val="22"/>
                <w:szCs w:val="22"/>
              </w:rPr>
              <w:t xml:space="preserve">Ministerstvo financí </w:t>
            </w:r>
          </w:p>
        </w:tc>
      </w:tr>
      <w:tr w14:paraId="25C27C41"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50C4B975" w14:textId="77777777">
            <w:pPr>
              <w:rPr>
                <w:rFonts w:ascii="Calibri" w:hAnsi="Calibri"/>
                <w:color w:val="000000"/>
                <w:sz w:val="22"/>
                <w:szCs w:val="22"/>
              </w:rPr>
            </w:pPr>
            <w:r>
              <w:rPr>
                <w:rFonts w:ascii="Calibri" w:hAnsi="Calibri"/>
                <w:color w:val="000000"/>
                <w:sz w:val="22"/>
                <w:szCs w:val="22"/>
              </w:rPr>
              <w:t>MMR</w:t>
            </w:r>
          </w:p>
        </w:tc>
        <w:tc>
          <w:tcPr>
            <w:tcW w:w="7229" w:type="dxa"/>
            <w:shd w:val="clear" w:color="auto" w:fill="auto"/>
            <w:noWrap/>
            <w:vAlign w:val="bottom"/>
            <w:hideMark/>
          </w:tcPr>
          <w:p w:rsidR="003E7EB8" w:rsidP="008A2E4A" w14:paraId="260B9792" w14:textId="77777777">
            <w:pPr>
              <w:rPr>
                <w:rFonts w:ascii="Calibri" w:hAnsi="Calibri"/>
                <w:color w:val="000000"/>
                <w:sz w:val="22"/>
                <w:szCs w:val="22"/>
              </w:rPr>
            </w:pPr>
            <w:r>
              <w:rPr>
                <w:rFonts w:ascii="Calibri" w:hAnsi="Calibri"/>
                <w:color w:val="000000"/>
                <w:sz w:val="22"/>
                <w:szCs w:val="22"/>
              </w:rPr>
              <w:t>Ministerstvo pro místní rozvoj</w:t>
            </w:r>
          </w:p>
        </w:tc>
      </w:tr>
      <w:tr w14:paraId="31C6C665"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83E7A32" w14:textId="77777777">
            <w:pPr>
              <w:rPr>
                <w:rFonts w:ascii="Calibri" w:hAnsi="Calibri"/>
                <w:color w:val="000000"/>
                <w:sz w:val="22"/>
                <w:szCs w:val="22"/>
              </w:rPr>
            </w:pPr>
            <w:r>
              <w:rPr>
                <w:rFonts w:ascii="Calibri" w:hAnsi="Calibri"/>
                <w:color w:val="000000"/>
                <w:sz w:val="22"/>
                <w:szCs w:val="22"/>
              </w:rPr>
              <w:t>MPO</w:t>
            </w:r>
          </w:p>
        </w:tc>
        <w:tc>
          <w:tcPr>
            <w:tcW w:w="7229" w:type="dxa"/>
            <w:shd w:val="clear" w:color="auto" w:fill="auto"/>
            <w:noWrap/>
            <w:vAlign w:val="bottom"/>
            <w:hideMark/>
          </w:tcPr>
          <w:p w:rsidR="003E7EB8" w:rsidP="008A2E4A" w14:paraId="7FE2904D" w14:textId="77777777">
            <w:pPr>
              <w:rPr>
                <w:rFonts w:ascii="Calibri" w:hAnsi="Calibri"/>
                <w:color w:val="000000"/>
                <w:sz w:val="22"/>
                <w:szCs w:val="22"/>
              </w:rPr>
            </w:pPr>
            <w:r>
              <w:rPr>
                <w:rFonts w:ascii="Calibri" w:hAnsi="Calibri"/>
                <w:color w:val="000000"/>
                <w:sz w:val="22"/>
                <w:szCs w:val="22"/>
              </w:rPr>
              <w:t xml:space="preserve">Ministerstvo průmyslu a obchodu </w:t>
            </w:r>
          </w:p>
        </w:tc>
      </w:tr>
      <w:tr w14:paraId="202D5AD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31B5E43D" w14:textId="77777777">
            <w:pPr>
              <w:rPr>
                <w:rFonts w:ascii="Calibri" w:hAnsi="Calibri"/>
                <w:color w:val="000000"/>
                <w:sz w:val="22"/>
                <w:szCs w:val="22"/>
              </w:rPr>
            </w:pPr>
            <w:r>
              <w:rPr>
                <w:rFonts w:ascii="Calibri" w:hAnsi="Calibri"/>
                <w:color w:val="000000"/>
                <w:sz w:val="22"/>
                <w:szCs w:val="22"/>
              </w:rPr>
              <w:t>MPSV</w:t>
            </w:r>
          </w:p>
        </w:tc>
        <w:tc>
          <w:tcPr>
            <w:tcW w:w="7229" w:type="dxa"/>
            <w:shd w:val="clear" w:color="auto" w:fill="auto"/>
            <w:noWrap/>
            <w:vAlign w:val="bottom"/>
            <w:hideMark/>
          </w:tcPr>
          <w:p w:rsidR="003E7EB8" w:rsidP="008A2E4A" w14:paraId="2A01BFF1" w14:textId="77777777">
            <w:pPr>
              <w:rPr>
                <w:rFonts w:ascii="Calibri" w:hAnsi="Calibri"/>
                <w:color w:val="000000"/>
                <w:sz w:val="22"/>
                <w:szCs w:val="22"/>
              </w:rPr>
            </w:pPr>
            <w:r>
              <w:rPr>
                <w:rFonts w:ascii="Calibri" w:hAnsi="Calibri"/>
                <w:color w:val="000000"/>
                <w:sz w:val="22"/>
                <w:szCs w:val="22"/>
              </w:rPr>
              <w:t>Ministerstvo práce a sociálních věcí</w:t>
            </w:r>
          </w:p>
        </w:tc>
      </w:tr>
      <w:tr w14:paraId="29E400C6"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0702BF3A" w14:textId="77777777">
            <w:pPr>
              <w:rPr>
                <w:rFonts w:ascii="Calibri" w:hAnsi="Calibri"/>
                <w:color w:val="000000"/>
                <w:sz w:val="22"/>
                <w:szCs w:val="22"/>
              </w:rPr>
            </w:pPr>
            <w:r>
              <w:rPr>
                <w:rFonts w:ascii="Calibri" w:hAnsi="Calibri"/>
                <w:color w:val="000000"/>
                <w:sz w:val="22"/>
                <w:szCs w:val="22"/>
              </w:rPr>
              <w:t>MŠMT</w:t>
            </w:r>
          </w:p>
        </w:tc>
        <w:tc>
          <w:tcPr>
            <w:tcW w:w="7229" w:type="dxa"/>
            <w:shd w:val="clear" w:color="auto" w:fill="auto"/>
            <w:noWrap/>
            <w:vAlign w:val="bottom"/>
            <w:hideMark/>
          </w:tcPr>
          <w:p w:rsidR="003E7EB8" w:rsidP="008A2E4A" w14:paraId="0F6ED4BD" w14:textId="77777777">
            <w:pPr>
              <w:rPr>
                <w:rFonts w:ascii="Calibri" w:hAnsi="Calibri"/>
                <w:color w:val="000000"/>
                <w:sz w:val="22"/>
                <w:szCs w:val="22"/>
              </w:rPr>
            </w:pPr>
            <w:r>
              <w:rPr>
                <w:rFonts w:ascii="Calibri" w:hAnsi="Calibri"/>
                <w:color w:val="000000"/>
                <w:sz w:val="22"/>
                <w:szCs w:val="22"/>
              </w:rPr>
              <w:t xml:space="preserve">Ministerstvo školství, mládeže a tělovýchovy </w:t>
            </w:r>
          </w:p>
        </w:tc>
      </w:tr>
      <w:tr w14:paraId="32229CF0"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AFE628E" w14:textId="77777777">
            <w:pPr>
              <w:rPr>
                <w:rFonts w:ascii="Calibri" w:hAnsi="Calibri"/>
                <w:color w:val="000000"/>
                <w:sz w:val="22"/>
                <w:szCs w:val="22"/>
              </w:rPr>
            </w:pPr>
            <w:r>
              <w:rPr>
                <w:rFonts w:ascii="Calibri" w:hAnsi="Calibri"/>
                <w:color w:val="000000"/>
                <w:sz w:val="22"/>
                <w:szCs w:val="22"/>
              </w:rPr>
              <w:t>MV</w:t>
            </w:r>
          </w:p>
        </w:tc>
        <w:tc>
          <w:tcPr>
            <w:tcW w:w="7229" w:type="dxa"/>
            <w:shd w:val="clear" w:color="auto" w:fill="auto"/>
            <w:noWrap/>
            <w:vAlign w:val="bottom"/>
            <w:hideMark/>
          </w:tcPr>
          <w:p w:rsidR="003E7EB8" w:rsidP="008A2E4A" w14:paraId="7C17A505" w14:textId="77777777">
            <w:pPr>
              <w:rPr>
                <w:rFonts w:ascii="Calibri" w:hAnsi="Calibri"/>
                <w:color w:val="000000"/>
                <w:sz w:val="22"/>
                <w:szCs w:val="22"/>
              </w:rPr>
            </w:pPr>
            <w:r>
              <w:rPr>
                <w:rFonts w:ascii="Calibri" w:hAnsi="Calibri"/>
                <w:color w:val="000000"/>
                <w:sz w:val="22"/>
                <w:szCs w:val="22"/>
              </w:rPr>
              <w:t>Ministerstvo vnitra</w:t>
            </w:r>
          </w:p>
        </w:tc>
      </w:tr>
      <w:tr w14:paraId="08A80C6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74EB8138" w14:textId="77777777">
            <w:pPr>
              <w:rPr>
                <w:rFonts w:ascii="Calibri" w:hAnsi="Calibri"/>
                <w:color w:val="000000"/>
                <w:sz w:val="22"/>
                <w:szCs w:val="22"/>
              </w:rPr>
            </w:pPr>
            <w:r>
              <w:rPr>
                <w:rFonts w:ascii="Calibri" w:hAnsi="Calibri"/>
                <w:color w:val="000000"/>
                <w:sz w:val="22"/>
                <w:szCs w:val="22"/>
              </w:rPr>
              <w:t>MZD</w:t>
            </w:r>
          </w:p>
        </w:tc>
        <w:tc>
          <w:tcPr>
            <w:tcW w:w="7229" w:type="dxa"/>
            <w:shd w:val="clear" w:color="auto" w:fill="auto"/>
            <w:noWrap/>
            <w:vAlign w:val="bottom"/>
            <w:hideMark/>
          </w:tcPr>
          <w:p w:rsidR="003E7EB8" w:rsidP="008A2E4A" w14:paraId="09C93FFA" w14:textId="77777777">
            <w:pPr>
              <w:rPr>
                <w:rFonts w:ascii="Calibri" w:hAnsi="Calibri"/>
                <w:color w:val="000000"/>
                <w:sz w:val="22"/>
                <w:szCs w:val="22"/>
              </w:rPr>
            </w:pPr>
            <w:r>
              <w:rPr>
                <w:rFonts w:ascii="Calibri" w:hAnsi="Calibri"/>
                <w:color w:val="000000"/>
                <w:sz w:val="22"/>
                <w:szCs w:val="22"/>
              </w:rPr>
              <w:t>Ministerstvo zdravotnictví</w:t>
            </w:r>
          </w:p>
        </w:tc>
      </w:tr>
      <w:tr w14:paraId="29E91BA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31F06FD6" w14:textId="77777777">
            <w:pPr>
              <w:rPr>
                <w:rFonts w:ascii="Calibri" w:hAnsi="Calibri"/>
                <w:color w:val="000000"/>
                <w:sz w:val="22"/>
                <w:szCs w:val="22"/>
              </w:rPr>
            </w:pPr>
            <w:r>
              <w:rPr>
                <w:rFonts w:ascii="Calibri" w:hAnsi="Calibri"/>
                <w:color w:val="000000"/>
                <w:sz w:val="22"/>
                <w:szCs w:val="22"/>
              </w:rPr>
              <w:t>MZe</w:t>
            </w:r>
          </w:p>
        </w:tc>
        <w:tc>
          <w:tcPr>
            <w:tcW w:w="7229" w:type="dxa"/>
            <w:shd w:val="clear" w:color="auto" w:fill="auto"/>
            <w:noWrap/>
            <w:vAlign w:val="bottom"/>
            <w:hideMark/>
          </w:tcPr>
          <w:p w:rsidR="003E7EB8" w:rsidP="008A2E4A" w14:paraId="6FFF22DB" w14:textId="77777777">
            <w:pPr>
              <w:rPr>
                <w:rFonts w:ascii="Calibri" w:hAnsi="Calibri"/>
                <w:color w:val="000000"/>
                <w:sz w:val="22"/>
                <w:szCs w:val="22"/>
              </w:rPr>
            </w:pPr>
            <w:r>
              <w:rPr>
                <w:rFonts w:ascii="Calibri" w:hAnsi="Calibri"/>
                <w:color w:val="000000"/>
                <w:sz w:val="22"/>
                <w:szCs w:val="22"/>
              </w:rPr>
              <w:t>Ministerstvo zemědělství</w:t>
            </w:r>
          </w:p>
        </w:tc>
      </w:tr>
      <w:tr w14:paraId="428D12F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6ED6A550" w14:textId="77777777">
            <w:pPr>
              <w:rPr>
                <w:rFonts w:ascii="Calibri" w:hAnsi="Calibri"/>
                <w:color w:val="000000"/>
                <w:sz w:val="22"/>
                <w:szCs w:val="22"/>
              </w:rPr>
            </w:pPr>
            <w:r>
              <w:rPr>
                <w:rFonts w:ascii="Calibri" w:hAnsi="Calibri"/>
                <w:color w:val="000000"/>
                <w:sz w:val="22"/>
                <w:szCs w:val="22"/>
              </w:rPr>
              <w:t xml:space="preserve">MŽP </w:t>
            </w:r>
          </w:p>
        </w:tc>
        <w:tc>
          <w:tcPr>
            <w:tcW w:w="7229" w:type="dxa"/>
            <w:shd w:val="clear" w:color="auto" w:fill="auto"/>
            <w:noWrap/>
            <w:vAlign w:val="bottom"/>
            <w:hideMark/>
          </w:tcPr>
          <w:p w:rsidR="003E7EB8" w:rsidP="008A2E4A" w14:paraId="3B90F17D" w14:textId="77777777">
            <w:pPr>
              <w:rPr>
                <w:rFonts w:ascii="Calibri" w:hAnsi="Calibri"/>
                <w:color w:val="000000"/>
                <w:sz w:val="22"/>
                <w:szCs w:val="22"/>
              </w:rPr>
            </w:pPr>
            <w:r>
              <w:rPr>
                <w:rFonts w:ascii="Calibri" w:hAnsi="Calibri"/>
                <w:color w:val="000000"/>
                <w:sz w:val="22"/>
                <w:szCs w:val="22"/>
              </w:rPr>
              <w:t>Ministerstvo životního prostředí</w:t>
            </w:r>
          </w:p>
        </w:tc>
      </w:tr>
      <w:tr w14:paraId="7FA0FD7B"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tcPr>
          <w:p w:rsidR="003E7EB8" w:rsidP="008A2E4A" w14:paraId="391D5D4E" w14:textId="77777777">
            <w:pPr>
              <w:rPr>
                <w:rFonts w:ascii="Calibri" w:hAnsi="Calibri"/>
                <w:color w:val="000000"/>
                <w:sz w:val="22"/>
                <w:szCs w:val="22"/>
              </w:rPr>
            </w:pPr>
            <w:r>
              <w:rPr>
                <w:rFonts w:asciiTheme="minorHAnsi" w:hAnsiTheme="minorHAnsi" w:cstheme="minorHAnsi"/>
                <w:szCs w:val="22"/>
              </w:rPr>
              <w:t>SE</w:t>
            </w:r>
          </w:p>
        </w:tc>
        <w:tc>
          <w:tcPr>
            <w:tcW w:w="7229" w:type="dxa"/>
            <w:shd w:val="clear" w:color="auto" w:fill="auto"/>
            <w:noWrap/>
            <w:vAlign w:val="bottom"/>
          </w:tcPr>
          <w:p w:rsidR="003E7EB8" w:rsidP="008A2E4A" w14:paraId="36914F6E" w14:textId="77777777">
            <w:pPr>
              <w:rPr>
                <w:rFonts w:ascii="Calibri" w:hAnsi="Calibri"/>
                <w:color w:val="000000"/>
                <w:sz w:val="22"/>
                <w:szCs w:val="22"/>
              </w:rPr>
            </w:pPr>
            <w:r>
              <w:rPr>
                <w:rFonts w:ascii="Calibri" w:hAnsi="Calibri"/>
                <w:color w:val="000000"/>
                <w:sz w:val="22"/>
                <w:szCs w:val="22"/>
              </w:rPr>
              <w:t xml:space="preserve">Vrchní ředitel </w:t>
            </w:r>
            <w:r w:rsidRPr="00402DC7">
              <w:rPr>
                <w:rFonts w:ascii="Calibri" w:hAnsi="Calibri"/>
                <w:color w:val="000000"/>
                <w:sz w:val="22"/>
                <w:szCs w:val="22"/>
              </w:rPr>
              <w:t>pro ekonomiku a zdravotní pojištění</w:t>
            </w:r>
          </w:p>
        </w:tc>
      </w:tr>
      <w:tr w14:paraId="0E2920DC"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5E2965AC" w14:textId="77777777">
            <w:pPr>
              <w:rPr>
                <w:rFonts w:ascii="Calibri" w:hAnsi="Calibri"/>
                <w:color w:val="000000"/>
                <w:sz w:val="22"/>
                <w:szCs w:val="22"/>
              </w:rPr>
            </w:pPr>
            <w:r>
              <w:rPr>
                <w:rFonts w:ascii="Calibri" w:hAnsi="Calibri"/>
                <w:color w:val="000000"/>
                <w:sz w:val="22"/>
                <w:szCs w:val="22"/>
              </w:rPr>
              <w:t>SH</w:t>
            </w:r>
          </w:p>
        </w:tc>
        <w:tc>
          <w:tcPr>
            <w:tcW w:w="7229" w:type="dxa"/>
            <w:shd w:val="clear" w:color="auto" w:fill="auto"/>
            <w:noWrap/>
            <w:vAlign w:val="bottom"/>
            <w:hideMark/>
          </w:tcPr>
          <w:p w:rsidR="003E7EB8" w:rsidP="008A2E4A" w14:paraId="752E596A" w14:textId="77777777">
            <w:pPr>
              <w:rPr>
                <w:rFonts w:ascii="Calibri" w:hAnsi="Calibri"/>
                <w:color w:val="000000"/>
                <w:sz w:val="22"/>
                <w:szCs w:val="22"/>
              </w:rPr>
            </w:pPr>
            <w:r>
              <w:rPr>
                <w:rFonts w:ascii="Calibri" w:hAnsi="Calibri"/>
                <w:color w:val="000000"/>
                <w:sz w:val="22"/>
                <w:szCs w:val="22"/>
              </w:rPr>
              <w:t xml:space="preserve">Sekce ochrany a podpory veřejného zdraví </w:t>
            </w:r>
          </w:p>
        </w:tc>
      </w:tr>
      <w:tr w14:paraId="3224C818"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3E7EB8" w:rsidP="008A2E4A" w14:paraId="5ADE5A62" w14:textId="77777777">
            <w:pPr>
              <w:rPr>
                <w:rFonts w:ascii="Calibri" w:hAnsi="Calibri"/>
                <w:color w:val="000000"/>
                <w:sz w:val="22"/>
                <w:szCs w:val="22"/>
              </w:rPr>
            </w:pPr>
            <w:r>
              <w:rPr>
                <w:rFonts w:ascii="Calibri" w:hAnsi="Calibri"/>
                <w:color w:val="000000"/>
                <w:sz w:val="22"/>
                <w:szCs w:val="22"/>
              </w:rPr>
              <w:t>SL</w:t>
            </w:r>
          </w:p>
        </w:tc>
        <w:tc>
          <w:tcPr>
            <w:tcW w:w="7229" w:type="dxa"/>
            <w:shd w:val="clear" w:color="auto" w:fill="auto"/>
            <w:noWrap/>
            <w:vAlign w:val="bottom"/>
            <w:hideMark/>
          </w:tcPr>
          <w:p w:rsidR="003E7EB8" w:rsidRPr="00402DC7" w:rsidP="008A2E4A" w14:paraId="1F3E3FDD" w14:textId="77777777">
            <w:pPr>
              <w:rPr>
                <w:rFonts w:ascii="Calibri" w:hAnsi="Calibri"/>
                <w:color w:val="000000"/>
                <w:sz w:val="22"/>
                <w:szCs w:val="22"/>
              </w:rPr>
            </w:pPr>
            <w:r>
              <w:rPr>
                <w:rFonts w:ascii="Calibri" w:hAnsi="Calibri"/>
                <w:color w:val="000000"/>
                <w:sz w:val="22"/>
                <w:szCs w:val="22"/>
              </w:rPr>
              <w:t>Vrchní ředitel</w:t>
            </w:r>
            <w:r w:rsidRPr="00402DC7">
              <w:rPr>
                <w:rFonts w:ascii="Calibri" w:hAnsi="Calibri"/>
                <w:color w:val="000000"/>
                <w:sz w:val="22"/>
                <w:szCs w:val="22"/>
              </w:rPr>
              <w:t xml:space="preserve"> pro legislativu a právo</w:t>
            </w:r>
          </w:p>
        </w:tc>
      </w:tr>
      <w:tr w14:paraId="71BEEFB8"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481D0D25" w14:textId="77777777">
            <w:pPr>
              <w:rPr>
                <w:rFonts w:ascii="Calibri" w:hAnsi="Calibri"/>
                <w:color w:val="000000"/>
                <w:sz w:val="22"/>
                <w:szCs w:val="22"/>
              </w:rPr>
            </w:pPr>
            <w:r>
              <w:rPr>
                <w:rFonts w:ascii="Calibri" w:hAnsi="Calibri"/>
                <w:color w:val="000000"/>
                <w:sz w:val="22"/>
                <w:szCs w:val="22"/>
              </w:rPr>
              <w:t>NAM</w:t>
            </w:r>
          </w:p>
        </w:tc>
        <w:tc>
          <w:tcPr>
            <w:tcW w:w="7229" w:type="dxa"/>
            <w:shd w:val="clear" w:color="auto" w:fill="auto"/>
            <w:noWrap/>
            <w:vAlign w:val="bottom"/>
            <w:hideMark/>
          </w:tcPr>
          <w:p w:rsidR="003E7EB8" w:rsidP="008A2E4A" w14:paraId="1D8E28C6" w14:textId="77777777">
            <w:pPr>
              <w:rPr>
                <w:rFonts w:ascii="Calibri" w:hAnsi="Calibri"/>
                <w:color w:val="000000"/>
                <w:sz w:val="22"/>
                <w:szCs w:val="22"/>
              </w:rPr>
            </w:pPr>
            <w:r>
              <w:rPr>
                <w:rFonts w:ascii="Calibri" w:hAnsi="Calibri"/>
                <w:color w:val="000000"/>
                <w:sz w:val="22"/>
                <w:szCs w:val="22"/>
              </w:rPr>
              <w:t>Náměstek ministra</w:t>
            </w:r>
          </w:p>
        </w:tc>
      </w:tr>
      <w:tr w14:paraId="3C82A702"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3E7EB8" w:rsidP="008A2E4A" w14:paraId="44FF6419" w14:textId="77777777">
            <w:pPr>
              <w:rPr>
                <w:rFonts w:ascii="Calibri" w:hAnsi="Calibri"/>
                <w:color w:val="000000"/>
                <w:sz w:val="22"/>
                <w:szCs w:val="22"/>
              </w:rPr>
            </w:pPr>
            <w:r>
              <w:rPr>
                <w:rFonts w:ascii="Calibri" w:hAnsi="Calibri"/>
                <w:color w:val="000000"/>
                <w:sz w:val="22"/>
                <w:szCs w:val="22"/>
              </w:rPr>
              <w:t>NNO</w:t>
            </w:r>
          </w:p>
        </w:tc>
        <w:tc>
          <w:tcPr>
            <w:tcW w:w="7229" w:type="dxa"/>
            <w:shd w:val="clear" w:color="auto" w:fill="auto"/>
            <w:noWrap/>
            <w:vAlign w:val="bottom"/>
            <w:hideMark/>
          </w:tcPr>
          <w:p w:rsidR="003E7EB8" w:rsidP="008A2E4A" w14:paraId="14AFEF79" w14:textId="77777777">
            <w:pPr>
              <w:rPr>
                <w:rFonts w:ascii="Calibri" w:hAnsi="Calibri"/>
                <w:color w:val="000000"/>
              </w:rPr>
            </w:pPr>
            <w:r>
              <w:rPr>
                <w:rFonts w:ascii="Calibri" w:hAnsi="Calibri"/>
                <w:color w:val="000000"/>
              </w:rPr>
              <w:t>Nestátní nezisková organizace</w:t>
            </w:r>
          </w:p>
        </w:tc>
      </w:tr>
      <w:tr w14:paraId="056F7273"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3E7EB8" w:rsidP="008A2E4A" w14:paraId="483A3E20" w14:textId="77777777">
            <w:pPr>
              <w:rPr>
                <w:rFonts w:ascii="Calibri" w:hAnsi="Calibri"/>
                <w:color w:val="000000"/>
                <w:sz w:val="22"/>
                <w:szCs w:val="22"/>
              </w:rPr>
            </w:pPr>
            <w:r>
              <w:rPr>
                <w:rFonts w:ascii="Calibri" w:hAnsi="Calibri"/>
                <w:color w:val="000000"/>
                <w:sz w:val="22"/>
                <w:szCs w:val="22"/>
              </w:rPr>
              <w:t xml:space="preserve">SZ </w:t>
            </w:r>
          </w:p>
        </w:tc>
        <w:tc>
          <w:tcPr>
            <w:tcW w:w="7229" w:type="dxa"/>
            <w:shd w:val="clear" w:color="auto" w:fill="auto"/>
            <w:noWrap/>
            <w:vAlign w:val="bottom"/>
            <w:hideMark/>
          </w:tcPr>
          <w:p w:rsidR="003E7EB8" w:rsidP="008A2E4A" w14:paraId="7D6E2431" w14:textId="77777777">
            <w:pPr>
              <w:rPr>
                <w:rFonts w:ascii="Calibri" w:hAnsi="Calibri"/>
                <w:color w:val="000000"/>
              </w:rPr>
            </w:pPr>
            <w:r>
              <w:rPr>
                <w:rFonts w:ascii="Calibri" w:hAnsi="Calibri"/>
                <w:color w:val="000000"/>
              </w:rPr>
              <w:t>Vrchní ředitel pro zdravotní péči</w:t>
            </w:r>
          </w:p>
        </w:tc>
      </w:tr>
      <w:tr w14:paraId="18777AF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1F8668FE" w14:textId="77777777">
            <w:pPr>
              <w:rPr>
                <w:rFonts w:ascii="Calibri" w:hAnsi="Calibri"/>
                <w:color w:val="000000"/>
                <w:sz w:val="22"/>
                <w:szCs w:val="22"/>
              </w:rPr>
            </w:pPr>
            <w:r>
              <w:rPr>
                <w:rFonts w:ascii="Calibri" w:hAnsi="Calibri"/>
                <w:color w:val="000000"/>
                <w:sz w:val="22"/>
                <w:szCs w:val="22"/>
              </w:rPr>
              <w:t>NZIP</w:t>
            </w:r>
          </w:p>
        </w:tc>
        <w:tc>
          <w:tcPr>
            <w:tcW w:w="7229" w:type="dxa"/>
            <w:shd w:val="clear" w:color="auto" w:fill="auto"/>
            <w:noWrap/>
            <w:vAlign w:val="bottom"/>
            <w:hideMark/>
          </w:tcPr>
          <w:p w:rsidR="003E7EB8" w:rsidP="008A2E4A" w14:paraId="02768921" w14:textId="77777777">
            <w:pPr>
              <w:rPr>
                <w:rFonts w:ascii="Calibri" w:hAnsi="Calibri"/>
                <w:color w:val="000000"/>
                <w:sz w:val="22"/>
                <w:szCs w:val="22"/>
              </w:rPr>
            </w:pPr>
            <w:r>
              <w:rPr>
                <w:rFonts w:ascii="Calibri" w:hAnsi="Calibri"/>
                <w:color w:val="000000"/>
                <w:sz w:val="22"/>
                <w:szCs w:val="22"/>
              </w:rPr>
              <w:t>Národní zdravotnický informační portál</w:t>
            </w:r>
          </w:p>
        </w:tc>
      </w:tr>
      <w:tr w14:paraId="48CBACD4"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3E7EB8" w:rsidP="008A2E4A" w14:paraId="3AB48C74" w14:textId="77777777">
            <w:pPr>
              <w:rPr>
                <w:rFonts w:ascii="Calibri" w:hAnsi="Calibri"/>
                <w:color w:val="000000"/>
                <w:sz w:val="22"/>
                <w:szCs w:val="22"/>
              </w:rPr>
            </w:pPr>
            <w:r>
              <w:rPr>
                <w:rFonts w:ascii="Calibri" w:hAnsi="Calibri"/>
                <w:color w:val="000000"/>
                <w:sz w:val="22"/>
                <w:szCs w:val="22"/>
              </w:rPr>
              <w:t>OPK</w:t>
            </w:r>
          </w:p>
        </w:tc>
        <w:tc>
          <w:tcPr>
            <w:tcW w:w="7229" w:type="dxa"/>
            <w:shd w:val="clear" w:color="auto" w:fill="auto"/>
            <w:noWrap/>
            <w:vAlign w:val="bottom"/>
            <w:hideMark/>
          </w:tcPr>
          <w:p w:rsidR="003E7EB8" w:rsidP="008A2E4A" w14:paraId="3B7D1642" w14:textId="77777777">
            <w:pPr>
              <w:rPr>
                <w:rFonts w:ascii="Calibri" w:hAnsi="Calibri"/>
                <w:color w:val="000000"/>
              </w:rPr>
            </w:pPr>
            <w:r>
              <w:rPr>
                <w:rFonts w:ascii="Calibri" w:hAnsi="Calibri"/>
                <w:color w:val="000000"/>
              </w:rPr>
              <w:t xml:space="preserve">Odbor protidrogové politiky </w:t>
            </w:r>
          </w:p>
        </w:tc>
      </w:tr>
      <w:tr w14:paraId="72878620"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48B22C76" w14:textId="77777777">
            <w:pPr>
              <w:rPr>
                <w:rFonts w:ascii="Calibri" w:hAnsi="Calibri"/>
                <w:color w:val="000000"/>
                <w:sz w:val="22"/>
                <w:szCs w:val="22"/>
              </w:rPr>
            </w:pPr>
            <w:r>
              <w:rPr>
                <w:rFonts w:ascii="Calibri" w:hAnsi="Calibri"/>
                <w:color w:val="000000"/>
                <w:sz w:val="22"/>
                <w:szCs w:val="22"/>
              </w:rPr>
              <w:t>OVZ</w:t>
            </w:r>
          </w:p>
        </w:tc>
        <w:tc>
          <w:tcPr>
            <w:tcW w:w="7229" w:type="dxa"/>
            <w:shd w:val="clear" w:color="auto" w:fill="auto"/>
            <w:noWrap/>
            <w:vAlign w:val="bottom"/>
            <w:hideMark/>
          </w:tcPr>
          <w:p w:rsidR="003E7EB8" w:rsidP="008A2E4A" w14:paraId="766096D6" w14:textId="77777777">
            <w:pPr>
              <w:rPr>
                <w:rFonts w:ascii="Calibri" w:hAnsi="Calibri"/>
                <w:color w:val="000000"/>
                <w:sz w:val="22"/>
                <w:szCs w:val="22"/>
              </w:rPr>
            </w:pPr>
            <w:r>
              <w:rPr>
                <w:rFonts w:ascii="Calibri" w:hAnsi="Calibri"/>
                <w:color w:val="000000"/>
                <w:sz w:val="22"/>
                <w:szCs w:val="22"/>
              </w:rPr>
              <w:t>Odbor ochrany veřejného zdraví</w:t>
            </w:r>
          </w:p>
        </w:tc>
      </w:tr>
      <w:tr w14:paraId="47B3F0A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54317987" w14:textId="77777777">
            <w:pPr>
              <w:rPr>
                <w:rFonts w:ascii="Calibri" w:hAnsi="Calibri"/>
                <w:color w:val="000000"/>
                <w:sz w:val="22"/>
                <w:szCs w:val="22"/>
              </w:rPr>
            </w:pPr>
            <w:r>
              <w:rPr>
                <w:rFonts w:ascii="Calibri" w:hAnsi="Calibri"/>
                <w:color w:val="000000"/>
                <w:sz w:val="22"/>
                <w:szCs w:val="22"/>
              </w:rPr>
              <w:t>PČR</w:t>
            </w:r>
          </w:p>
        </w:tc>
        <w:tc>
          <w:tcPr>
            <w:tcW w:w="7229" w:type="dxa"/>
            <w:shd w:val="clear" w:color="auto" w:fill="auto"/>
            <w:noWrap/>
            <w:vAlign w:val="bottom"/>
            <w:hideMark/>
          </w:tcPr>
          <w:p w:rsidR="003E7EB8" w:rsidP="008A2E4A" w14:paraId="09100C49" w14:textId="77777777">
            <w:pPr>
              <w:rPr>
                <w:rFonts w:ascii="Calibri" w:hAnsi="Calibri"/>
                <w:color w:val="000000"/>
                <w:sz w:val="22"/>
                <w:szCs w:val="22"/>
              </w:rPr>
            </w:pPr>
            <w:r>
              <w:rPr>
                <w:rFonts w:ascii="Calibri" w:hAnsi="Calibri"/>
                <w:color w:val="000000"/>
                <w:sz w:val="22"/>
                <w:szCs w:val="22"/>
              </w:rPr>
              <w:t>Poslanecká sněmovna Parlamentu</w:t>
            </w:r>
          </w:p>
        </w:tc>
      </w:tr>
      <w:tr w14:paraId="1043587D"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EDB703D" w14:textId="77777777">
            <w:pPr>
              <w:rPr>
                <w:rFonts w:ascii="Calibri" w:hAnsi="Calibri"/>
                <w:color w:val="000000"/>
                <w:sz w:val="22"/>
                <w:szCs w:val="22"/>
              </w:rPr>
            </w:pPr>
            <w:r>
              <w:rPr>
                <w:rFonts w:ascii="Calibri" w:hAnsi="Calibri"/>
                <w:color w:val="000000"/>
                <w:sz w:val="22"/>
                <w:szCs w:val="22"/>
              </w:rPr>
              <w:t>SMOCR</w:t>
            </w:r>
          </w:p>
        </w:tc>
        <w:tc>
          <w:tcPr>
            <w:tcW w:w="7229" w:type="dxa"/>
            <w:shd w:val="clear" w:color="auto" w:fill="auto"/>
            <w:noWrap/>
            <w:vAlign w:val="bottom"/>
            <w:hideMark/>
          </w:tcPr>
          <w:p w:rsidR="003E7EB8" w:rsidP="008A2E4A" w14:paraId="336DA442" w14:textId="77777777">
            <w:pPr>
              <w:rPr>
                <w:rFonts w:ascii="Calibri" w:hAnsi="Calibri"/>
                <w:color w:val="000000"/>
                <w:sz w:val="22"/>
                <w:szCs w:val="22"/>
              </w:rPr>
            </w:pPr>
            <w:r>
              <w:rPr>
                <w:rFonts w:ascii="Calibri" w:hAnsi="Calibri"/>
                <w:color w:val="000000"/>
                <w:sz w:val="22"/>
                <w:szCs w:val="22"/>
              </w:rPr>
              <w:t>Svaz měst a obcí ČR</w:t>
            </w:r>
          </w:p>
        </w:tc>
      </w:tr>
      <w:tr w14:paraId="2033FEBC"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02A66517" w14:textId="77777777">
            <w:pPr>
              <w:rPr>
                <w:rFonts w:ascii="Calibri" w:hAnsi="Calibri"/>
                <w:color w:val="000000"/>
                <w:sz w:val="22"/>
                <w:szCs w:val="22"/>
              </w:rPr>
            </w:pPr>
            <w:r>
              <w:rPr>
                <w:rFonts w:ascii="Calibri" w:hAnsi="Calibri"/>
                <w:color w:val="000000"/>
                <w:sz w:val="22"/>
                <w:szCs w:val="22"/>
              </w:rPr>
              <w:t>SZÚ</w:t>
            </w:r>
          </w:p>
        </w:tc>
        <w:tc>
          <w:tcPr>
            <w:tcW w:w="7229" w:type="dxa"/>
            <w:shd w:val="clear" w:color="auto" w:fill="auto"/>
            <w:noWrap/>
            <w:vAlign w:val="bottom"/>
            <w:hideMark/>
          </w:tcPr>
          <w:p w:rsidR="003E7EB8" w:rsidP="008A2E4A" w14:paraId="4480E73E" w14:textId="77777777">
            <w:pPr>
              <w:rPr>
                <w:rFonts w:ascii="Calibri" w:hAnsi="Calibri"/>
                <w:color w:val="000000"/>
                <w:sz w:val="22"/>
                <w:szCs w:val="22"/>
              </w:rPr>
            </w:pPr>
            <w:r>
              <w:rPr>
                <w:rFonts w:ascii="Calibri" w:hAnsi="Calibri"/>
                <w:color w:val="000000"/>
                <w:sz w:val="22"/>
                <w:szCs w:val="22"/>
              </w:rPr>
              <w:t>Státní zdravotní ústav</w:t>
            </w:r>
          </w:p>
        </w:tc>
      </w:tr>
      <w:tr w14:paraId="53344F7A"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24BD9D87" w14:textId="77777777">
            <w:pPr>
              <w:rPr>
                <w:rFonts w:ascii="Calibri" w:hAnsi="Calibri"/>
                <w:color w:val="000000"/>
                <w:sz w:val="22"/>
                <w:szCs w:val="22"/>
              </w:rPr>
            </w:pPr>
            <w:r>
              <w:rPr>
                <w:rFonts w:ascii="Calibri" w:hAnsi="Calibri"/>
                <w:color w:val="000000"/>
                <w:sz w:val="22"/>
                <w:szCs w:val="22"/>
              </w:rPr>
              <w:t>UK</w:t>
            </w:r>
          </w:p>
        </w:tc>
        <w:tc>
          <w:tcPr>
            <w:tcW w:w="7229" w:type="dxa"/>
            <w:shd w:val="clear" w:color="auto" w:fill="auto"/>
            <w:noWrap/>
            <w:vAlign w:val="bottom"/>
            <w:hideMark/>
          </w:tcPr>
          <w:p w:rsidR="003E7EB8" w:rsidP="008A2E4A" w14:paraId="1950FE31" w14:textId="77777777">
            <w:pPr>
              <w:rPr>
                <w:rFonts w:ascii="Calibri" w:hAnsi="Calibri"/>
                <w:color w:val="000000"/>
                <w:sz w:val="22"/>
                <w:szCs w:val="22"/>
              </w:rPr>
            </w:pPr>
            <w:r>
              <w:rPr>
                <w:rFonts w:ascii="Calibri" w:hAnsi="Calibri"/>
                <w:color w:val="000000"/>
                <w:sz w:val="22"/>
                <w:szCs w:val="22"/>
              </w:rPr>
              <w:t xml:space="preserve">Univerzita Karlova </w:t>
            </w:r>
          </w:p>
        </w:tc>
      </w:tr>
      <w:tr w14:paraId="11E9A4A0"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700A09CE" w14:textId="77777777">
            <w:pPr>
              <w:rPr>
                <w:rFonts w:ascii="Calibri" w:hAnsi="Calibri"/>
                <w:color w:val="000000"/>
                <w:sz w:val="22"/>
                <w:szCs w:val="22"/>
              </w:rPr>
            </w:pPr>
            <w:r>
              <w:rPr>
                <w:rFonts w:ascii="Calibri" w:hAnsi="Calibri"/>
                <w:color w:val="000000"/>
                <w:sz w:val="22"/>
                <w:szCs w:val="22"/>
              </w:rPr>
              <w:t>ÚV</w:t>
            </w:r>
          </w:p>
        </w:tc>
        <w:tc>
          <w:tcPr>
            <w:tcW w:w="7229" w:type="dxa"/>
            <w:shd w:val="clear" w:color="auto" w:fill="auto"/>
            <w:noWrap/>
            <w:vAlign w:val="bottom"/>
            <w:hideMark/>
          </w:tcPr>
          <w:p w:rsidR="003E7EB8" w:rsidP="008A2E4A" w14:paraId="4C2711FB" w14:textId="77777777">
            <w:pPr>
              <w:rPr>
                <w:rFonts w:ascii="Calibri" w:hAnsi="Calibri"/>
                <w:color w:val="000000"/>
                <w:sz w:val="22"/>
                <w:szCs w:val="22"/>
              </w:rPr>
            </w:pPr>
            <w:r>
              <w:rPr>
                <w:rFonts w:ascii="Calibri" w:hAnsi="Calibri"/>
                <w:color w:val="000000"/>
                <w:sz w:val="22"/>
                <w:szCs w:val="22"/>
              </w:rPr>
              <w:t xml:space="preserve">Úřad vlády </w:t>
            </w:r>
          </w:p>
        </w:tc>
      </w:tr>
      <w:tr w14:paraId="4B36A15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4B5D4AD1" w14:textId="77777777">
            <w:pPr>
              <w:rPr>
                <w:rFonts w:ascii="Calibri" w:hAnsi="Calibri"/>
                <w:color w:val="000000"/>
                <w:sz w:val="22"/>
                <w:szCs w:val="22"/>
              </w:rPr>
            </w:pPr>
            <w:r>
              <w:rPr>
                <w:rFonts w:ascii="Calibri" w:hAnsi="Calibri"/>
                <w:color w:val="000000"/>
                <w:sz w:val="22"/>
                <w:szCs w:val="22"/>
              </w:rPr>
              <w:t>ÚZIS</w:t>
            </w:r>
          </w:p>
        </w:tc>
        <w:tc>
          <w:tcPr>
            <w:tcW w:w="7229" w:type="dxa"/>
            <w:shd w:val="clear" w:color="auto" w:fill="auto"/>
            <w:noWrap/>
            <w:vAlign w:val="bottom"/>
            <w:hideMark/>
          </w:tcPr>
          <w:p w:rsidR="003E7EB8" w:rsidP="008A2E4A" w14:paraId="550C12B6" w14:textId="77777777">
            <w:pPr>
              <w:rPr>
                <w:rFonts w:ascii="Calibri" w:hAnsi="Calibri"/>
                <w:color w:val="000000"/>
                <w:sz w:val="22"/>
                <w:szCs w:val="22"/>
              </w:rPr>
            </w:pPr>
            <w:r>
              <w:rPr>
                <w:rFonts w:ascii="Calibri" w:hAnsi="Calibri"/>
                <w:color w:val="000000"/>
                <w:sz w:val="22"/>
                <w:szCs w:val="22"/>
              </w:rPr>
              <w:t>Ústav zdravotnických informací a statistiky</w:t>
            </w:r>
          </w:p>
        </w:tc>
      </w:tr>
      <w:tr w14:paraId="18ACEE12"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3E7EB8" w:rsidP="008A2E4A" w14:paraId="09D85C8D" w14:textId="77777777">
            <w:pPr>
              <w:rPr>
                <w:rFonts w:ascii="Calibri" w:hAnsi="Calibri"/>
                <w:color w:val="000000"/>
                <w:sz w:val="22"/>
                <w:szCs w:val="22"/>
              </w:rPr>
            </w:pPr>
            <w:r>
              <w:rPr>
                <w:rFonts w:ascii="Calibri" w:hAnsi="Calibri"/>
                <w:color w:val="000000"/>
                <w:sz w:val="22"/>
                <w:szCs w:val="22"/>
              </w:rPr>
              <w:t>VZP</w:t>
            </w:r>
          </w:p>
        </w:tc>
        <w:tc>
          <w:tcPr>
            <w:tcW w:w="7229" w:type="dxa"/>
            <w:shd w:val="clear" w:color="auto" w:fill="auto"/>
            <w:noWrap/>
            <w:vAlign w:val="bottom"/>
            <w:hideMark/>
          </w:tcPr>
          <w:p w:rsidR="003E7EB8" w:rsidP="008A2E4A" w14:paraId="4C634DCF" w14:textId="77777777">
            <w:pPr>
              <w:rPr>
                <w:rFonts w:ascii="Calibri" w:hAnsi="Calibri"/>
                <w:color w:val="000000"/>
                <w:sz w:val="22"/>
                <w:szCs w:val="22"/>
              </w:rPr>
            </w:pPr>
            <w:r>
              <w:rPr>
                <w:rFonts w:ascii="Calibri" w:hAnsi="Calibri"/>
                <w:color w:val="000000"/>
                <w:sz w:val="22"/>
                <w:szCs w:val="22"/>
              </w:rPr>
              <w:t>Všeobecná zdravotní pojišťovna</w:t>
            </w:r>
          </w:p>
        </w:tc>
      </w:tr>
    </w:tbl>
    <w:p w:rsidR="003E7EB8" w:rsidP="003E7EB8" w14:paraId="3D35E349" w14:textId="77777777">
      <w:pPr>
        <w:rPr>
          <w:rFonts w:ascii="Arial" w:hAnsi="Arial" w:cs="Arial"/>
          <w:b/>
        </w:rPr>
      </w:pPr>
    </w:p>
    <w:p w:rsidR="003E7EB8" w:rsidP="003E7EB8" w14:paraId="575D2A94" w14:textId="77777777">
      <w:pPr>
        <w:rPr>
          <w:rFonts w:ascii="Arial" w:hAnsi="Arial" w:cs="Arial"/>
          <w:b/>
        </w:rPr>
      </w:pPr>
    </w:p>
    <w:p w:rsidR="003E7EB8" w:rsidRPr="002B24B0" w:rsidP="003E7EB8" w14:paraId="2C375F69" w14:textId="77777777">
      <w:pPr>
        <w:rPr>
          <w:rFonts w:asciiTheme="minorHAnsi" w:hAnsiTheme="minorHAnsi" w:cstheme="minorHAnsi"/>
          <w:b/>
        </w:rPr>
      </w:pPr>
    </w:p>
    <w:p w:rsidR="003E7EB8" w:rsidRPr="002B24B0" w:rsidP="003E7EB8" w14:paraId="63540B58" w14:textId="77777777">
      <w:pPr>
        <w:rPr>
          <w:rFonts w:asciiTheme="minorHAnsi" w:hAnsiTheme="minorHAnsi" w:cstheme="minorHAnsi"/>
          <w:b/>
        </w:rPr>
      </w:pPr>
      <w:r w:rsidRPr="002B24B0">
        <w:rPr>
          <w:rFonts w:asciiTheme="minorHAnsi" w:hAnsiTheme="minorHAnsi" w:cstheme="minorHAnsi"/>
          <w:b/>
        </w:rPr>
        <w:t>Seznam obrázků</w:t>
      </w:r>
    </w:p>
    <w:p w:rsidR="003E7EB8" w:rsidRPr="002B24B0" w:rsidP="003E7EB8" w14:paraId="2A4424C2"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3E7EB8" w:rsidRPr="002B24B0" w:rsidP="003E7EB8" w14:paraId="1342EEA3" w14:textId="77777777">
      <w:pPr>
        <w:rPr>
          <w:rFonts w:asciiTheme="minorHAnsi" w:hAnsiTheme="minorHAnsi" w:cstheme="minorHAnsi"/>
        </w:rPr>
      </w:pPr>
      <w:r w:rsidRPr="002B24B0">
        <w:rPr>
          <w:rFonts w:asciiTheme="minorHAnsi" w:hAnsiTheme="minorHAnsi" w:cstheme="minorHAnsi"/>
        </w:rPr>
        <w:t>Obr. č. 2: Schéma realizační struktury</w:t>
      </w:r>
    </w:p>
    <w:p w:rsidR="003E7EB8" w:rsidRPr="002B24B0" w:rsidP="003E7EB8" w14:paraId="09C9939F" w14:textId="77777777">
      <w:pPr>
        <w:rPr>
          <w:rFonts w:asciiTheme="minorHAnsi" w:hAnsiTheme="minorHAnsi" w:cstheme="minorHAnsi"/>
          <w:b/>
        </w:rPr>
      </w:pPr>
    </w:p>
    <w:p w:rsidR="003E7EB8" w:rsidRPr="002B24B0" w:rsidP="003E7EB8" w14:paraId="1530FB47" w14:textId="77777777">
      <w:pPr>
        <w:rPr>
          <w:rFonts w:asciiTheme="minorHAnsi" w:hAnsiTheme="minorHAnsi" w:cstheme="minorHAnsi"/>
          <w:b/>
        </w:rPr>
      </w:pPr>
      <w:r w:rsidRPr="002B24B0">
        <w:rPr>
          <w:rFonts w:asciiTheme="minorHAnsi" w:hAnsiTheme="minorHAnsi" w:cstheme="minorHAnsi"/>
          <w:b/>
        </w:rPr>
        <w:t>Seznam tabulek</w:t>
      </w:r>
    </w:p>
    <w:p w:rsidR="003E7EB8" w:rsidRPr="002B24B0" w:rsidP="003E7EB8" w14:paraId="13249555"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3E7EB8" w:rsidRPr="002B24B0" w:rsidP="003E7EB8" w14:paraId="7D819CBE"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3E7EB8" w:rsidRPr="002B24B0" w:rsidP="003E7EB8" w14:paraId="70670E12"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3E7EB8" w:rsidRPr="002B24B0" w:rsidP="003E7EB8" w14:paraId="3C93BBDB"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3E7EB8" w:rsidP="003E7EB8" w14:paraId="0A9A8905"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3E7EB8" w:rsidRPr="002B24B0" w:rsidP="003E7EB8" w14:paraId="65872ABA"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3E7EB8" w:rsidRPr="008D0088" w:rsidP="003E7EB8" w14:paraId="0D7F1E54" w14:textId="77777777">
      <w:pPr>
        <w:rPr>
          <w:rFonts w:ascii="Arial" w:hAnsi="Arial" w:cs="Arial"/>
          <w:b/>
        </w:rPr>
      </w:pPr>
    </w:p>
    <w:p w:rsidR="006336EB" w:rsidRPr="00C24606" w:rsidP="00C709C0" w14:paraId="0AB81DFB" w14:textId="77777777">
      <w:pPr>
        <w:jc w:val="both"/>
        <w:rPr>
          <w:rFonts w:asciiTheme="minorHAnsi" w:hAnsiTheme="minorHAnsi" w:cstheme="minorHAnsi"/>
        </w:rPr>
      </w:pPr>
    </w:p>
    <w:sectPr w:rsidSect="00514ECA">
      <w:pgSz w:w="11906" w:h="16838"/>
      <w:pgMar w:top="720" w:right="720" w:bottom="720" w:left="72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86757259"/>
      <w:docPartObj>
        <w:docPartGallery w:val="Page Numbers (Bottom of Page)"/>
        <w:docPartUnique/>
      </w:docPartObj>
    </w:sdtPr>
    <w:sdtContent>
      <w:p w:rsidR="00364FB7" w:rsidP="002426F9" w14:paraId="1AAD55B6" w14:textId="77777777">
        <w:pPr>
          <w:pStyle w:val="Footer"/>
          <w:jc w:val="center"/>
        </w:pPr>
      </w:p>
      <w:p w:rsidR="00364FB7" w:rsidP="002426F9" w14:paraId="06BDF7D2" w14:textId="77777777">
        <w:pPr>
          <w:pStyle w:val="Footer"/>
          <w:jc w:val="center"/>
        </w:pPr>
      </w:p>
      <w:p w:rsidR="00364FB7" w:rsidP="002426F9" w14:paraId="40D8D874" w14:textId="00B8E6BD">
        <w:pPr>
          <w:pStyle w:val="Footer"/>
          <w:jc w:val="center"/>
          <w:rPr>
            <w:rFonts w:asciiTheme="minorHAnsi" w:hAnsiTheme="minorHAnsi"/>
            <w:color w:val="1F497D" w:themeColor="text2"/>
            <w:sz w:val="20"/>
            <w:szCs w:val="20"/>
          </w:rPr>
        </w:pPr>
        <w:r>
          <w:fldChar w:fldCharType="begin"/>
        </w:r>
        <w:r>
          <w:instrText>PAGE   \* MERGEFORMAT</w:instrText>
        </w:r>
        <w:r>
          <w:fldChar w:fldCharType="separate"/>
        </w:r>
        <w:r>
          <w:t>44</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514ECA">
          <w:rPr>
            <w:rFonts w:asciiTheme="minorHAnsi" w:hAnsiTheme="minorHAnsi"/>
            <w:color w:val="1F497D" w:themeColor="text2"/>
            <w:sz w:val="22"/>
            <w:szCs w:val="22"/>
          </w:rPr>
          <w:t>2</w:t>
        </w:r>
        <w:r>
          <w:t xml:space="preserve">                                </w:t>
        </w:r>
        <w:r w:rsidRPr="00564925">
          <w:rPr>
            <w:rFonts w:asciiTheme="minorHAnsi" w:hAnsiTheme="minorHAnsi"/>
            <w:color w:val="1F497D" w:themeColor="text2"/>
            <w:sz w:val="22"/>
            <w:szCs w:val="22"/>
          </w:rPr>
          <w:t>Implementační plán č</w:t>
        </w:r>
        <w:r w:rsidRPr="000C316A">
          <w:rPr>
            <w:rFonts w:asciiTheme="minorHAnsi" w:hAnsiTheme="minorHAnsi"/>
            <w:color w:val="1F497D" w:themeColor="text2"/>
            <w:sz w:val="22"/>
            <w:szCs w:val="22"/>
          </w:rPr>
          <w:t>.</w:t>
        </w:r>
        <w:r w:rsidRPr="000C316A">
          <w:rPr>
            <w:rFonts w:asciiTheme="minorHAnsi" w:hAnsiTheme="minorHAnsi"/>
            <w:color w:val="1F497D" w:themeColor="text2"/>
            <w:sz w:val="20"/>
            <w:szCs w:val="20"/>
          </w:rPr>
          <w:t xml:space="preserve"> 2.3</w:t>
        </w:r>
      </w:p>
      <w:p w:rsidR="00364FB7" w:rsidRPr="00541FEA" w:rsidP="00B22BEC" w14:paraId="7C6022F8" w14:textId="520C6589">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sidR="00514ECA">
          <w:rPr>
            <w:rFonts w:asciiTheme="minorHAnsi" w:hAnsiTheme="minorHAnsi" w:cstheme="minorHAnsi"/>
            <w:color w:val="1F497D" w:themeColor="text2"/>
            <w:sz w:val="22"/>
            <w:szCs w:val="22"/>
          </w:rPr>
          <w:t>X.X</w:t>
        </w:r>
        <w:r>
          <w:rPr>
            <w:rFonts w:asciiTheme="minorHAnsi" w:hAnsiTheme="minorHAnsi" w:cstheme="minorHAnsi"/>
            <w:color w:val="1F497D" w:themeColor="text2"/>
            <w:sz w:val="22"/>
            <w:szCs w:val="22"/>
          </w:rPr>
          <w:t>.202</w:t>
        </w:r>
        <w:r w:rsidR="00514ECA">
          <w:rPr>
            <w:rFonts w:asciiTheme="minorHAnsi" w:hAnsiTheme="minorHAnsi" w:cstheme="minorHAnsi"/>
            <w:color w:val="1F497D" w:themeColor="text2"/>
            <w:sz w:val="22"/>
            <w:szCs w:val="22"/>
          </w:rPr>
          <w:t>5</w:t>
        </w:r>
        <w:r w:rsidRPr="00541FEA">
          <w:rPr>
            <w:rFonts w:asciiTheme="minorHAnsi" w:hAnsiTheme="minorHAnsi" w:cstheme="minorHAnsi"/>
            <w:color w:val="1F497D" w:themeColor="text2"/>
            <w:sz w:val="22"/>
            <w:szCs w:val="22"/>
          </w:rPr>
          <w:t xml:space="preserve"> </w:t>
        </w:r>
      </w:p>
      <w:p w:rsidR="00364FB7" w:rsidP="002426F9" w14:paraId="2E33C337" w14:textId="77777777">
        <w:pPr>
          <w:pStyle w:val="Footer"/>
          <w:jc w:val="center"/>
          <w:rPr>
            <w:rFonts w:asciiTheme="minorHAnsi" w:hAnsiTheme="minorHAnsi"/>
            <w:i/>
            <w:color w:val="1F497D" w:themeColor="text2"/>
            <w:sz w:val="20"/>
            <w:szCs w:val="20"/>
            <w:highlight w:val="lightGray"/>
          </w:rPr>
        </w:pPr>
      </w:p>
      <w:p w:rsidR="00364FB7" w14:paraId="1C336FA6" w14:textId="77777777">
        <w:pPr>
          <w:pStyle w:val="Footer"/>
        </w:pPr>
      </w:p>
    </w:sdtContent>
  </w:sdt>
  <w:p w:rsidR="00364FB7" w:rsidRPr="00541FEA" w:rsidP="00696B0E" w14:paraId="7C4F06B2" w14:textId="77777777">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345F70" w:rsidP="006234D1" w14:paraId="26D1B719" w14:textId="77777777">
      <w:r>
        <w:separator/>
      </w:r>
    </w:p>
  </w:footnote>
  <w:footnote w:type="continuationSeparator" w:id="1">
    <w:p w:rsidR="00345F70" w:rsidP="006234D1" w14:paraId="3C912D2B" w14:textId="77777777">
      <w:r>
        <w:continuationSeparator/>
      </w:r>
    </w:p>
  </w:footnote>
  <w:footnote w:type="continuationNotice" w:id="2">
    <w:p w:rsidR="00345F70" w14:paraId="1CDCDB86" w14:textId="77777777"/>
  </w:footnote>
  <w:footnote w:id="3">
    <w:p w:rsidR="008C6210" w14:paraId="72FB034B" w14:textId="77777777">
      <w:pPr>
        <w:pStyle w:val="FootnoteText"/>
      </w:pPr>
      <w:r>
        <w:rPr>
          <w:rStyle w:val="FootnoteReference"/>
        </w:rPr>
        <w:footnoteRef/>
      </w:r>
      <w:r>
        <w:t xml:space="preserve"> K 1.1.2025</w:t>
      </w:r>
    </w:p>
  </w:footnote>
  <w:footnote w:id="4">
    <w:p w:rsidR="00B677A8" w:rsidP="00B677A8" w14:paraId="413FE498"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5">
    <w:p w:rsidR="00364FB7" w14:paraId="081850DC" w14:textId="2AE7BE54">
      <w:pPr>
        <w:pStyle w:val="FootnoteText"/>
      </w:pPr>
      <w:r>
        <w:rPr>
          <w:rStyle w:val="FootnoteReference"/>
        </w:rPr>
        <w:footnoteRef/>
      </w:r>
      <w:r>
        <w:t xml:space="preserve"> </w:t>
      </w:r>
      <w:r>
        <w:rPr>
          <w:rFonts w:asciiTheme="minorHAnsi" w:hAnsiTheme="minorHAnsi" w:cstheme="minorHAnsi"/>
          <w:sz w:val="18"/>
          <w:szCs w:val="18"/>
        </w:rPr>
        <w:t>Identifikace rizika</w:t>
      </w:r>
      <w:r w:rsidRPr="00BA76A7">
        <w:rPr>
          <w:rFonts w:asciiTheme="minorHAnsi" w:hAnsiTheme="minorHAnsi" w:cstheme="minorHAnsi"/>
          <w:sz w:val="18"/>
          <w:szCs w:val="18"/>
        </w:rPr>
        <w:t xml:space="preserve"> na škále: Téměř neznatelný (od 0,1 do 1,0), Drobný (od 1,1 do 2,0), Významný (od 2,1 do 3,0), Velmi významný (od 3,1 do 4,0), Nepřijatelný (od 4,1 do 5,0). Přičemž dopad rizika je určen stupněm míry dopadu na implementaci, tedy do jaké ohrožuje úspěšné naplnění daného cíle.</w:t>
      </w:r>
    </w:p>
  </w:footnote>
  <w:footnote w:id="6">
    <w:p w:rsidR="00364FB7" w14:paraId="37AEE38B" w14:textId="4328387E">
      <w:pPr>
        <w:pStyle w:val="FootnoteText"/>
      </w:pPr>
      <w:r>
        <w:rPr>
          <w:rStyle w:val="FootnoteReference"/>
        </w:rPr>
        <w:footnoteRef/>
      </w:r>
      <w:r>
        <w:t xml:space="preserve"> </w:t>
      </w:r>
      <w:r w:rsidRPr="00BA76A7">
        <w:rPr>
          <w:rFonts w:asciiTheme="minorHAnsi" w:hAnsiTheme="minorHAnsi" w:cstheme="minorHAnsi"/>
          <w:sz w:val="18"/>
          <w:szCs w:val="18"/>
        </w:rPr>
        <w:t xml:space="preserve">Pravděpodobnost výskytu rizika identifikovat na škále: Téměř nemožné (od 0,1 do 1,0), Výjimečně možná (od 1,1 do 2,0), Běžně možná (od 2,1 do 3,0), Pravděpodobná (od 3,1 do 4,0), Hraničící s jistotou (od 4,1 do 5,0). Do kolonky vkládat číslo </w:t>
      </w:r>
      <w:r>
        <w:rPr>
          <w:rFonts w:asciiTheme="minorHAnsi" w:hAnsiTheme="minorHAnsi" w:cstheme="minorHAnsi"/>
          <w:sz w:val="18"/>
          <w:szCs w:val="18"/>
        </w:rPr>
        <w:br/>
      </w:r>
      <w:r w:rsidRPr="00BA76A7">
        <w:rPr>
          <w:rFonts w:asciiTheme="minorHAnsi" w:hAnsiTheme="minorHAnsi" w:cstheme="minorHAnsi"/>
          <w:sz w:val="18"/>
          <w:szCs w:val="18"/>
        </w:rPr>
        <w:t>i popis.</w:t>
      </w:r>
    </w:p>
  </w:footnote>
  <w:footnote w:id="7">
    <w:p w:rsidR="00364FB7" w14:paraId="220F4C9D" w14:textId="1D3A913B">
      <w:pPr>
        <w:pStyle w:val="FootnoteText"/>
      </w:pPr>
      <w:r>
        <w:rPr>
          <w:rStyle w:val="FootnoteReference"/>
        </w:rPr>
        <w:footnoteRef/>
      </w:r>
      <w:r>
        <w:t xml:space="preserve"> </w:t>
      </w:r>
      <w:r w:rsidRPr="00BA76A7">
        <w:rPr>
          <w:rFonts w:asciiTheme="minorHAnsi" w:hAnsiTheme="minorHAnsi" w:cstheme="minorHAnsi"/>
          <w:sz w:val="18"/>
          <w:szCs w:val="18"/>
        </w:rPr>
        <w:t>Součin hodnot Dopad rizika x Pravděpodobnost výskytu rizika: Kritická/vysoká rizika (výsledek: 16–25), Závažná/střední rizika (výsledek: 9–15,9), Běžná/nízká rizika (výsledek: 0,01–8,9)</w:t>
      </w:r>
    </w:p>
  </w:footnote>
  <w:footnote w:id="8">
    <w:p w:rsidR="003E7EB8" w:rsidP="003E7EB8" w14:paraId="200F5A83"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4FB7" w14:paraId="73E8E1DB" w14:textId="0D23EAFB">
    <w:pPr>
      <w:pStyle w:val="Header"/>
    </w:pPr>
    <w:r>
      <w:rPr>
        <w:noProof/>
      </w:rPr>
      <w:drawing>
        <wp:anchor distT="0" distB="0" distL="114300" distR="114300" simplePos="0" relativeHeight="251658240" behindDoc="0" locked="0" layoutInCell="1" allowOverlap="1">
          <wp:simplePos x="0" y="0"/>
          <wp:positionH relativeFrom="margin">
            <wp:posOffset>3788466</wp:posOffset>
          </wp:positionH>
          <wp:positionV relativeFrom="paragraph">
            <wp:posOffset>217502</wp:posOffset>
          </wp:positionV>
          <wp:extent cx="2800350" cy="276225"/>
          <wp:effectExtent l="0" t="0" r="0" b="0"/>
          <wp:wrapSquare wrapText="bothSides"/>
          <wp:docPr id="11" name="obrázek 3"/>
          <wp:cNvGraphicFramePr/>
          <a:graphic xmlns:a="http://schemas.openxmlformats.org/drawingml/2006/main">
            <a:graphicData uri="http://schemas.openxmlformats.org/drawingml/2006/picture">
              <pic:pic xmlns:pic="http://schemas.openxmlformats.org/drawingml/2006/picture">
                <pic:nvPicPr>
                  <pic:cNvPr id="11"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3331596" cy="699679"/>
          <wp:effectExtent l="0" t="0" r="2540" b="5715"/>
          <wp:docPr id="1" name="Obrázek 1"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3368236" cy="707374"/>
                  </a:xfrm>
                  <a:prstGeom prst="rect">
                    <a:avLst/>
                  </a:prstGeom>
                </pic:spPr>
              </pic:pic>
            </a:graphicData>
          </a:graphic>
        </wp:inline>
      </w:drawing>
    </w:r>
  </w:p>
  <w:p w:rsidR="00364FB7" w14:paraId="482D716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4FB7" w:rsidP="00B70D43" w14:paraId="488D9D54" w14:textId="77777777">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12" name="obrázek 3"/>
          <wp:cNvGraphicFramePr/>
          <a:graphic xmlns:a="http://schemas.openxmlformats.org/drawingml/2006/main">
            <a:graphicData uri="http://schemas.openxmlformats.org/drawingml/2006/picture">
              <pic:pic xmlns:pic="http://schemas.openxmlformats.org/drawingml/2006/picture">
                <pic:nvPicPr>
                  <pic:cNvPr id="12"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F4488C"/>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AD70611"/>
    <w:multiLevelType w:val="hybridMultilevel"/>
    <w:tmpl w:val="52085BC2"/>
    <w:lvl w:ilvl="0">
      <w:start w:val="1"/>
      <w:numFmt w:val="decimal"/>
      <w:lvlText w:val="%1."/>
      <w:lvlJc w:val="left"/>
      <w:pPr>
        <w:ind w:left="4296" w:hanging="360"/>
      </w:pPr>
      <w:rPr>
        <w:rFonts w:hint="default"/>
      </w:rPr>
    </w:lvl>
    <w:lvl w:ilvl="1">
      <w:start w:val="3"/>
      <w:numFmt w:val="bullet"/>
      <w:pStyle w:val="odstavecsodrkou"/>
      <w:lvlText w:val="-"/>
      <w:lvlJc w:val="left"/>
      <w:pPr>
        <w:ind w:left="5376" w:hanging="720"/>
      </w:pPr>
      <w:rPr>
        <w:rFonts w:ascii="Calibri" w:hAnsi="Calibri" w:eastAsiaTheme="minorEastAsia" w:cstheme="minorBidi" w:hint="default"/>
      </w:rPr>
    </w:lvl>
    <w:lvl w:ilvl="2" w:tentative="1">
      <w:start w:val="1"/>
      <w:numFmt w:val="lowerRoman"/>
      <w:lvlText w:val="%3."/>
      <w:lvlJc w:val="right"/>
      <w:pPr>
        <w:ind w:left="5736" w:hanging="180"/>
      </w:pPr>
    </w:lvl>
    <w:lvl w:ilvl="3" w:tentative="1">
      <w:start w:val="1"/>
      <w:numFmt w:val="decimal"/>
      <w:lvlText w:val="%4."/>
      <w:lvlJc w:val="left"/>
      <w:pPr>
        <w:ind w:left="6456" w:hanging="360"/>
      </w:pPr>
    </w:lvl>
    <w:lvl w:ilvl="4" w:tentative="1">
      <w:start w:val="1"/>
      <w:numFmt w:val="lowerLetter"/>
      <w:lvlText w:val="%5."/>
      <w:lvlJc w:val="left"/>
      <w:pPr>
        <w:ind w:left="7176" w:hanging="360"/>
      </w:pPr>
    </w:lvl>
    <w:lvl w:ilvl="5" w:tentative="1">
      <w:start w:val="1"/>
      <w:numFmt w:val="lowerRoman"/>
      <w:lvlText w:val="%6."/>
      <w:lvlJc w:val="right"/>
      <w:pPr>
        <w:ind w:left="7896" w:hanging="180"/>
      </w:pPr>
    </w:lvl>
    <w:lvl w:ilvl="6" w:tentative="1">
      <w:start w:val="1"/>
      <w:numFmt w:val="decimal"/>
      <w:lvlText w:val="%7."/>
      <w:lvlJc w:val="left"/>
      <w:pPr>
        <w:ind w:left="8616" w:hanging="360"/>
      </w:pPr>
    </w:lvl>
    <w:lvl w:ilvl="7" w:tentative="1">
      <w:start w:val="1"/>
      <w:numFmt w:val="lowerLetter"/>
      <w:lvlText w:val="%8."/>
      <w:lvlJc w:val="left"/>
      <w:pPr>
        <w:ind w:left="9336" w:hanging="360"/>
      </w:pPr>
    </w:lvl>
    <w:lvl w:ilvl="8" w:tentative="1">
      <w:start w:val="1"/>
      <w:numFmt w:val="lowerRoman"/>
      <w:lvlText w:val="%9."/>
      <w:lvlJc w:val="right"/>
      <w:pPr>
        <w:ind w:left="10056" w:hanging="180"/>
      </w:pPr>
    </w:lvl>
  </w:abstractNum>
  <w:abstractNum w:abstractNumId="3">
    <w:nsid w:val="0C3E62C9"/>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A347EB"/>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1C0969"/>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7">
    <w:nsid w:val="1F1C22C4"/>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FF5144"/>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74D687C"/>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82E1D29"/>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8806626"/>
    <w:multiLevelType w:val="hybridMultilevel"/>
    <w:tmpl w:val="3F70FB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E716EC0"/>
    <w:multiLevelType w:val="hybridMultilevel"/>
    <w:tmpl w:val="304E79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3451B64"/>
    <w:multiLevelType w:val="hybridMultilevel"/>
    <w:tmpl w:val="05DE6D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374147C"/>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A33A8A"/>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3C8F00EA"/>
    <w:multiLevelType w:val="hybridMultilevel"/>
    <w:tmpl w:val="75A232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2723F01"/>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441343BA"/>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69628AF"/>
    <w:multiLevelType w:val="hybridMultilevel"/>
    <w:tmpl w:val="0380A61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FC165C8"/>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2112FB4"/>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32">
    <w:nsid w:val="59333DFA"/>
    <w:multiLevelType w:val="hybridMultilevel"/>
    <w:tmpl w:val="51D618FA"/>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DCB784F"/>
    <w:multiLevelType w:val="hybridMultilevel"/>
    <w:tmpl w:val="E064F608"/>
    <w:lvl w:ilvl="0">
      <w:start w:val="0"/>
      <w:numFmt w:val="bullet"/>
      <w:lvlText w:val="•"/>
      <w:lvlJc w:val="left"/>
      <w:pPr>
        <w:ind w:left="1065" w:hanging="705"/>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682C241A"/>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9181849"/>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CBB0CD2"/>
    <w:multiLevelType w:val="hybridMultilevel"/>
    <w:tmpl w:val="CA14FBD2"/>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D366FD0"/>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70F54835"/>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42">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3">
    <w:nsid w:val="75D7190C"/>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8906D36"/>
    <w:multiLevelType w:val="hybridMultilevel"/>
    <w:tmpl w:val="FD146D6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nsid w:val="7A724D08"/>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E500DB8"/>
    <w:multiLevelType w:val="hybridMultilevel"/>
    <w:tmpl w:val="DA9C151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7FAC3F3F"/>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42"/>
  </w:num>
  <w:num w:numId="3">
    <w:abstractNumId w:val="34"/>
  </w:num>
  <w:num w:numId="4">
    <w:abstractNumId w:val="28"/>
  </w:num>
  <w:num w:numId="5">
    <w:abstractNumId w:val="1"/>
  </w:num>
  <w:num w:numId="6">
    <w:abstractNumId w:val="30"/>
  </w:num>
  <w:num w:numId="7">
    <w:abstractNumId w:val="18"/>
  </w:num>
  <w:num w:numId="8">
    <w:abstractNumId w:val="39"/>
  </w:num>
  <w:num w:numId="9">
    <w:abstractNumId w:val="21"/>
  </w:num>
  <w:num w:numId="10">
    <w:abstractNumId w:val="41"/>
  </w:num>
  <w:num w:numId="11">
    <w:abstractNumId w:val="29"/>
  </w:num>
  <w:num w:numId="12">
    <w:abstractNumId w:val="20"/>
  </w:num>
  <w:num w:numId="13">
    <w:abstractNumId w:val="36"/>
  </w:num>
  <w:num w:numId="14">
    <w:abstractNumId w:val="12"/>
  </w:num>
  <w:num w:numId="15">
    <w:abstractNumId w:val="31"/>
  </w:num>
  <w:num w:numId="16">
    <w:abstractNumId w:val="6"/>
  </w:num>
  <w:num w:numId="17">
    <w:abstractNumId w:val="23"/>
  </w:num>
  <w:num w:numId="18">
    <w:abstractNumId w:val="32"/>
  </w:num>
  <w:num w:numId="19">
    <w:abstractNumId w:val="37"/>
  </w:num>
  <w:num w:numId="20">
    <w:abstractNumId w:val="4"/>
  </w:num>
  <w:num w:numId="21">
    <w:abstractNumId w:val="22"/>
  </w:num>
  <w:num w:numId="22">
    <w:abstractNumId w:val="38"/>
  </w:num>
  <w:num w:numId="23">
    <w:abstractNumId w:val="24"/>
  </w:num>
  <w:num w:numId="24">
    <w:abstractNumId w:val="3"/>
  </w:num>
  <w:num w:numId="25">
    <w:abstractNumId w:val="43"/>
  </w:num>
  <w:num w:numId="26">
    <w:abstractNumId w:val="0"/>
  </w:num>
  <w:num w:numId="27">
    <w:abstractNumId w:val="45"/>
  </w:num>
  <w:num w:numId="28">
    <w:abstractNumId w:val="7"/>
  </w:num>
  <w:num w:numId="29">
    <w:abstractNumId w:val="9"/>
  </w:num>
  <w:num w:numId="30">
    <w:abstractNumId w:val="47"/>
  </w:num>
  <w:num w:numId="31">
    <w:abstractNumId w:val="40"/>
  </w:num>
  <w:num w:numId="32">
    <w:abstractNumId w:val="44"/>
  </w:num>
  <w:num w:numId="33">
    <w:abstractNumId w:val="46"/>
  </w:num>
  <w:num w:numId="34">
    <w:abstractNumId w:val="13"/>
  </w:num>
  <w:num w:numId="35">
    <w:abstractNumId w:val="25"/>
  </w:num>
  <w:num w:numId="36">
    <w:abstractNumId w:val="2"/>
  </w:num>
  <w:num w:numId="37">
    <w:abstractNumId w:val="14"/>
  </w:num>
  <w:num w:numId="38">
    <w:abstractNumId w:val="11"/>
  </w:num>
  <w:num w:numId="39">
    <w:abstractNumId w:val="15"/>
  </w:num>
  <w:num w:numId="40">
    <w:abstractNumId w:val="8"/>
  </w:num>
  <w:num w:numId="41">
    <w:abstractNumId w:val="27"/>
  </w:num>
  <w:num w:numId="42">
    <w:abstractNumId w:val="10"/>
  </w:num>
  <w:num w:numId="43">
    <w:abstractNumId w:val="16"/>
  </w:num>
  <w:num w:numId="44">
    <w:abstractNumId w:val="5"/>
  </w:num>
  <w:num w:numId="45">
    <w:abstractNumId w:val="26"/>
  </w:num>
  <w:num w:numId="46">
    <w:abstractNumId w:val="19"/>
  </w:num>
  <w:num w:numId="47">
    <w:abstractNumId w:val="33"/>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83"/>
    <w:rsid w:val="0000180A"/>
    <w:rsid w:val="000040F1"/>
    <w:rsid w:val="00006E44"/>
    <w:rsid w:val="00007EC8"/>
    <w:rsid w:val="00010DCF"/>
    <w:rsid w:val="000157BB"/>
    <w:rsid w:val="00015CBD"/>
    <w:rsid w:val="00015F4D"/>
    <w:rsid w:val="00016919"/>
    <w:rsid w:val="00017908"/>
    <w:rsid w:val="00021E03"/>
    <w:rsid w:val="000247C3"/>
    <w:rsid w:val="00027775"/>
    <w:rsid w:val="0003061C"/>
    <w:rsid w:val="00030699"/>
    <w:rsid w:val="00031090"/>
    <w:rsid w:val="0003546A"/>
    <w:rsid w:val="000370BF"/>
    <w:rsid w:val="00037FDE"/>
    <w:rsid w:val="0004087B"/>
    <w:rsid w:val="00044C4B"/>
    <w:rsid w:val="0004757A"/>
    <w:rsid w:val="000510E2"/>
    <w:rsid w:val="00051537"/>
    <w:rsid w:val="00054B78"/>
    <w:rsid w:val="000614F8"/>
    <w:rsid w:val="00062309"/>
    <w:rsid w:val="000636EB"/>
    <w:rsid w:val="000639D6"/>
    <w:rsid w:val="000645EB"/>
    <w:rsid w:val="000731F8"/>
    <w:rsid w:val="000732A2"/>
    <w:rsid w:val="00073644"/>
    <w:rsid w:val="00073A71"/>
    <w:rsid w:val="000746E9"/>
    <w:rsid w:val="00074CCE"/>
    <w:rsid w:val="00075C94"/>
    <w:rsid w:val="00075D1F"/>
    <w:rsid w:val="000761C3"/>
    <w:rsid w:val="000773A9"/>
    <w:rsid w:val="000833B3"/>
    <w:rsid w:val="000844A0"/>
    <w:rsid w:val="000920B3"/>
    <w:rsid w:val="00093141"/>
    <w:rsid w:val="0009415B"/>
    <w:rsid w:val="000953CA"/>
    <w:rsid w:val="000956BA"/>
    <w:rsid w:val="00095A9C"/>
    <w:rsid w:val="00097E49"/>
    <w:rsid w:val="000A1F02"/>
    <w:rsid w:val="000A2F71"/>
    <w:rsid w:val="000A3207"/>
    <w:rsid w:val="000A4DA9"/>
    <w:rsid w:val="000A5108"/>
    <w:rsid w:val="000A584E"/>
    <w:rsid w:val="000A6F49"/>
    <w:rsid w:val="000B27A3"/>
    <w:rsid w:val="000B3E9D"/>
    <w:rsid w:val="000B3F54"/>
    <w:rsid w:val="000B4277"/>
    <w:rsid w:val="000B7CB1"/>
    <w:rsid w:val="000B7CC3"/>
    <w:rsid w:val="000C0E29"/>
    <w:rsid w:val="000C1042"/>
    <w:rsid w:val="000C169C"/>
    <w:rsid w:val="000C316A"/>
    <w:rsid w:val="000C5428"/>
    <w:rsid w:val="000C6FE8"/>
    <w:rsid w:val="000D3759"/>
    <w:rsid w:val="000D4CD8"/>
    <w:rsid w:val="000D7C2C"/>
    <w:rsid w:val="000E06E9"/>
    <w:rsid w:val="000E0B7C"/>
    <w:rsid w:val="000E0DAB"/>
    <w:rsid w:val="000E366B"/>
    <w:rsid w:val="000E6BF6"/>
    <w:rsid w:val="000F2368"/>
    <w:rsid w:val="000F3124"/>
    <w:rsid w:val="000F3412"/>
    <w:rsid w:val="000F47E7"/>
    <w:rsid w:val="000F4C27"/>
    <w:rsid w:val="000F60F0"/>
    <w:rsid w:val="00101100"/>
    <w:rsid w:val="001014E7"/>
    <w:rsid w:val="0010188B"/>
    <w:rsid w:val="00102238"/>
    <w:rsid w:val="00102A33"/>
    <w:rsid w:val="0011096B"/>
    <w:rsid w:val="001126D3"/>
    <w:rsid w:val="00113DFB"/>
    <w:rsid w:val="00114A2E"/>
    <w:rsid w:val="00114E9A"/>
    <w:rsid w:val="00120675"/>
    <w:rsid w:val="00120681"/>
    <w:rsid w:val="0012145C"/>
    <w:rsid w:val="00121794"/>
    <w:rsid w:val="00121E7C"/>
    <w:rsid w:val="001228E3"/>
    <w:rsid w:val="00123FC8"/>
    <w:rsid w:val="001242CC"/>
    <w:rsid w:val="0012474A"/>
    <w:rsid w:val="00124AAB"/>
    <w:rsid w:val="00127961"/>
    <w:rsid w:val="00135CA4"/>
    <w:rsid w:val="001376B0"/>
    <w:rsid w:val="0014023A"/>
    <w:rsid w:val="001420DA"/>
    <w:rsid w:val="00143A6C"/>
    <w:rsid w:val="00144AC5"/>
    <w:rsid w:val="00146098"/>
    <w:rsid w:val="00151899"/>
    <w:rsid w:val="00151A5B"/>
    <w:rsid w:val="00154181"/>
    <w:rsid w:val="00154BC2"/>
    <w:rsid w:val="00156D9D"/>
    <w:rsid w:val="00161274"/>
    <w:rsid w:val="00161AE0"/>
    <w:rsid w:val="00161D81"/>
    <w:rsid w:val="00163527"/>
    <w:rsid w:val="00163569"/>
    <w:rsid w:val="001660C6"/>
    <w:rsid w:val="001668D4"/>
    <w:rsid w:val="001702B1"/>
    <w:rsid w:val="00173234"/>
    <w:rsid w:val="0017461C"/>
    <w:rsid w:val="00175229"/>
    <w:rsid w:val="00176447"/>
    <w:rsid w:val="001800CD"/>
    <w:rsid w:val="00182FF7"/>
    <w:rsid w:val="001841BC"/>
    <w:rsid w:val="00184941"/>
    <w:rsid w:val="00184F50"/>
    <w:rsid w:val="001853E5"/>
    <w:rsid w:val="00186F9A"/>
    <w:rsid w:val="00190C1A"/>
    <w:rsid w:val="0019174A"/>
    <w:rsid w:val="00191761"/>
    <w:rsid w:val="001938DE"/>
    <w:rsid w:val="001956B8"/>
    <w:rsid w:val="00195971"/>
    <w:rsid w:val="00196283"/>
    <w:rsid w:val="001A1EE5"/>
    <w:rsid w:val="001A2EA5"/>
    <w:rsid w:val="001A3688"/>
    <w:rsid w:val="001A65C9"/>
    <w:rsid w:val="001A7535"/>
    <w:rsid w:val="001B328D"/>
    <w:rsid w:val="001B7CAA"/>
    <w:rsid w:val="001C0C6B"/>
    <w:rsid w:val="001C22C8"/>
    <w:rsid w:val="001C2EB9"/>
    <w:rsid w:val="001C31A1"/>
    <w:rsid w:val="001C403B"/>
    <w:rsid w:val="001C462C"/>
    <w:rsid w:val="001C7940"/>
    <w:rsid w:val="001D2614"/>
    <w:rsid w:val="001D2BF2"/>
    <w:rsid w:val="001D3B85"/>
    <w:rsid w:val="001D5732"/>
    <w:rsid w:val="001D6642"/>
    <w:rsid w:val="001D72A0"/>
    <w:rsid w:val="001E104C"/>
    <w:rsid w:val="001E1D93"/>
    <w:rsid w:val="001E25F4"/>
    <w:rsid w:val="001E2A8B"/>
    <w:rsid w:val="001E3856"/>
    <w:rsid w:val="001E3877"/>
    <w:rsid w:val="001E3FCD"/>
    <w:rsid w:val="001E4F0F"/>
    <w:rsid w:val="001E6644"/>
    <w:rsid w:val="001F1161"/>
    <w:rsid w:val="001F1BD6"/>
    <w:rsid w:val="001F6B59"/>
    <w:rsid w:val="002009B2"/>
    <w:rsid w:val="0020246C"/>
    <w:rsid w:val="00202AB4"/>
    <w:rsid w:val="00204778"/>
    <w:rsid w:val="00204789"/>
    <w:rsid w:val="00207308"/>
    <w:rsid w:val="002075DD"/>
    <w:rsid w:val="002128E0"/>
    <w:rsid w:val="00212E01"/>
    <w:rsid w:val="00214046"/>
    <w:rsid w:val="002143E7"/>
    <w:rsid w:val="00217197"/>
    <w:rsid w:val="002200BF"/>
    <w:rsid w:val="002223DF"/>
    <w:rsid w:val="00222F82"/>
    <w:rsid w:val="00225954"/>
    <w:rsid w:val="002316FD"/>
    <w:rsid w:val="00233AF0"/>
    <w:rsid w:val="0023465A"/>
    <w:rsid w:val="00235BDA"/>
    <w:rsid w:val="0023605A"/>
    <w:rsid w:val="00241AE9"/>
    <w:rsid w:val="002426F9"/>
    <w:rsid w:val="00243D28"/>
    <w:rsid w:val="00244E98"/>
    <w:rsid w:val="0024762C"/>
    <w:rsid w:val="00250D24"/>
    <w:rsid w:val="00252D2C"/>
    <w:rsid w:val="0025410F"/>
    <w:rsid w:val="00256E2E"/>
    <w:rsid w:val="00257453"/>
    <w:rsid w:val="002622F1"/>
    <w:rsid w:val="00263E55"/>
    <w:rsid w:val="0026426A"/>
    <w:rsid w:val="00264A52"/>
    <w:rsid w:val="00265298"/>
    <w:rsid w:val="0026780C"/>
    <w:rsid w:val="00267E8F"/>
    <w:rsid w:val="00270227"/>
    <w:rsid w:val="00270E8D"/>
    <w:rsid w:val="002736E7"/>
    <w:rsid w:val="002763D1"/>
    <w:rsid w:val="00276AFF"/>
    <w:rsid w:val="00281E95"/>
    <w:rsid w:val="00284BBA"/>
    <w:rsid w:val="00284DDA"/>
    <w:rsid w:val="00285677"/>
    <w:rsid w:val="00286D7D"/>
    <w:rsid w:val="00287620"/>
    <w:rsid w:val="00291B83"/>
    <w:rsid w:val="00296AAF"/>
    <w:rsid w:val="00297D2E"/>
    <w:rsid w:val="002A12B3"/>
    <w:rsid w:val="002A2336"/>
    <w:rsid w:val="002A3821"/>
    <w:rsid w:val="002A4057"/>
    <w:rsid w:val="002A653E"/>
    <w:rsid w:val="002A76FE"/>
    <w:rsid w:val="002B0729"/>
    <w:rsid w:val="002B07F1"/>
    <w:rsid w:val="002B0BC1"/>
    <w:rsid w:val="002B0DA4"/>
    <w:rsid w:val="002B1E64"/>
    <w:rsid w:val="002B1E85"/>
    <w:rsid w:val="002B1FFD"/>
    <w:rsid w:val="002B24B0"/>
    <w:rsid w:val="002B4D54"/>
    <w:rsid w:val="002C1E67"/>
    <w:rsid w:val="002C27BD"/>
    <w:rsid w:val="002C2D8B"/>
    <w:rsid w:val="002C470C"/>
    <w:rsid w:val="002C5543"/>
    <w:rsid w:val="002C663B"/>
    <w:rsid w:val="002C7A22"/>
    <w:rsid w:val="002D355C"/>
    <w:rsid w:val="002D35E5"/>
    <w:rsid w:val="002D44FC"/>
    <w:rsid w:val="002D5988"/>
    <w:rsid w:val="002E1902"/>
    <w:rsid w:val="002E2404"/>
    <w:rsid w:val="002E33A0"/>
    <w:rsid w:val="002E4001"/>
    <w:rsid w:val="002E6060"/>
    <w:rsid w:val="002F0833"/>
    <w:rsid w:val="002F196E"/>
    <w:rsid w:val="002F1BF9"/>
    <w:rsid w:val="002F28A5"/>
    <w:rsid w:val="002F32F8"/>
    <w:rsid w:val="002F59A2"/>
    <w:rsid w:val="002F5D31"/>
    <w:rsid w:val="002F689E"/>
    <w:rsid w:val="00300925"/>
    <w:rsid w:val="00301C08"/>
    <w:rsid w:val="0030394F"/>
    <w:rsid w:val="00304993"/>
    <w:rsid w:val="00305124"/>
    <w:rsid w:val="00312C76"/>
    <w:rsid w:val="00313366"/>
    <w:rsid w:val="0031717B"/>
    <w:rsid w:val="0032528D"/>
    <w:rsid w:val="003260D0"/>
    <w:rsid w:val="00327A01"/>
    <w:rsid w:val="00327A85"/>
    <w:rsid w:val="00331CC9"/>
    <w:rsid w:val="0033313F"/>
    <w:rsid w:val="00333D21"/>
    <w:rsid w:val="003351A8"/>
    <w:rsid w:val="00336008"/>
    <w:rsid w:val="00337070"/>
    <w:rsid w:val="0034008C"/>
    <w:rsid w:val="00345375"/>
    <w:rsid w:val="00345F70"/>
    <w:rsid w:val="00346BD1"/>
    <w:rsid w:val="00347FE0"/>
    <w:rsid w:val="003515C3"/>
    <w:rsid w:val="0035577C"/>
    <w:rsid w:val="00357C66"/>
    <w:rsid w:val="00357EA5"/>
    <w:rsid w:val="00360935"/>
    <w:rsid w:val="003638D8"/>
    <w:rsid w:val="003648C9"/>
    <w:rsid w:val="00364FB7"/>
    <w:rsid w:val="00366F59"/>
    <w:rsid w:val="00370570"/>
    <w:rsid w:val="00371E45"/>
    <w:rsid w:val="0037278D"/>
    <w:rsid w:val="0037323C"/>
    <w:rsid w:val="00374B8C"/>
    <w:rsid w:val="003751A6"/>
    <w:rsid w:val="003754E9"/>
    <w:rsid w:val="00377DBC"/>
    <w:rsid w:val="00381DA2"/>
    <w:rsid w:val="0038503D"/>
    <w:rsid w:val="00387C49"/>
    <w:rsid w:val="00387E82"/>
    <w:rsid w:val="00390305"/>
    <w:rsid w:val="0039258D"/>
    <w:rsid w:val="00394B61"/>
    <w:rsid w:val="00395967"/>
    <w:rsid w:val="00395A2D"/>
    <w:rsid w:val="00395D78"/>
    <w:rsid w:val="003968CB"/>
    <w:rsid w:val="003A019A"/>
    <w:rsid w:val="003A14F4"/>
    <w:rsid w:val="003A1646"/>
    <w:rsid w:val="003A19C5"/>
    <w:rsid w:val="003A5311"/>
    <w:rsid w:val="003A6008"/>
    <w:rsid w:val="003B0C36"/>
    <w:rsid w:val="003B1CE4"/>
    <w:rsid w:val="003B2AAF"/>
    <w:rsid w:val="003B3DF7"/>
    <w:rsid w:val="003B4479"/>
    <w:rsid w:val="003B47FE"/>
    <w:rsid w:val="003B7BA5"/>
    <w:rsid w:val="003B7E36"/>
    <w:rsid w:val="003C0D78"/>
    <w:rsid w:val="003C5207"/>
    <w:rsid w:val="003C685E"/>
    <w:rsid w:val="003D01F1"/>
    <w:rsid w:val="003D070B"/>
    <w:rsid w:val="003D29CA"/>
    <w:rsid w:val="003D5521"/>
    <w:rsid w:val="003D6701"/>
    <w:rsid w:val="003D7FC8"/>
    <w:rsid w:val="003E079E"/>
    <w:rsid w:val="003E0948"/>
    <w:rsid w:val="003E0EE3"/>
    <w:rsid w:val="003E7EB8"/>
    <w:rsid w:val="003F02B8"/>
    <w:rsid w:val="003F0695"/>
    <w:rsid w:val="003F0EAF"/>
    <w:rsid w:val="003F13EA"/>
    <w:rsid w:val="003F1B6B"/>
    <w:rsid w:val="003F2724"/>
    <w:rsid w:val="003F3C46"/>
    <w:rsid w:val="00402DC7"/>
    <w:rsid w:val="0040521A"/>
    <w:rsid w:val="00407113"/>
    <w:rsid w:val="00410C12"/>
    <w:rsid w:val="00411F51"/>
    <w:rsid w:val="004120EB"/>
    <w:rsid w:val="00414378"/>
    <w:rsid w:val="0042100E"/>
    <w:rsid w:val="00422C0D"/>
    <w:rsid w:val="00423547"/>
    <w:rsid w:val="004238FA"/>
    <w:rsid w:val="0042669A"/>
    <w:rsid w:val="00427963"/>
    <w:rsid w:val="0043578C"/>
    <w:rsid w:val="00442B26"/>
    <w:rsid w:val="00445E7E"/>
    <w:rsid w:val="00446829"/>
    <w:rsid w:val="0045043B"/>
    <w:rsid w:val="00451C47"/>
    <w:rsid w:val="0045542E"/>
    <w:rsid w:val="00456FF1"/>
    <w:rsid w:val="00460F39"/>
    <w:rsid w:val="00461857"/>
    <w:rsid w:val="004620E8"/>
    <w:rsid w:val="00462F3B"/>
    <w:rsid w:val="004665A6"/>
    <w:rsid w:val="004665BD"/>
    <w:rsid w:val="004712FE"/>
    <w:rsid w:val="0047382C"/>
    <w:rsid w:val="00473ECD"/>
    <w:rsid w:val="00475626"/>
    <w:rsid w:val="00477DA2"/>
    <w:rsid w:val="00482B70"/>
    <w:rsid w:val="00483A0B"/>
    <w:rsid w:val="00483C1D"/>
    <w:rsid w:val="004869C7"/>
    <w:rsid w:val="00490CA9"/>
    <w:rsid w:val="00492CCC"/>
    <w:rsid w:val="004941B8"/>
    <w:rsid w:val="004A0960"/>
    <w:rsid w:val="004A0E4D"/>
    <w:rsid w:val="004A1562"/>
    <w:rsid w:val="004A33D0"/>
    <w:rsid w:val="004A4B96"/>
    <w:rsid w:val="004B029B"/>
    <w:rsid w:val="004B3AB1"/>
    <w:rsid w:val="004B5764"/>
    <w:rsid w:val="004C54B0"/>
    <w:rsid w:val="004C66B9"/>
    <w:rsid w:val="004D1007"/>
    <w:rsid w:val="004D115C"/>
    <w:rsid w:val="004D13E7"/>
    <w:rsid w:val="004D3113"/>
    <w:rsid w:val="004D55D6"/>
    <w:rsid w:val="004D6069"/>
    <w:rsid w:val="004D661F"/>
    <w:rsid w:val="004D719C"/>
    <w:rsid w:val="004E07EF"/>
    <w:rsid w:val="004E1CEA"/>
    <w:rsid w:val="004E1D76"/>
    <w:rsid w:val="004E2095"/>
    <w:rsid w:val="004E5443"/>
    <w:rsid w:val="004F2339"/>
    <w:rsid w:val="00500752"/>
    <w:rsid w:val="00502A24"/>
    <w:rsid w:val="00507D97"/>
    <w:rsid w:val="00507E80"/>
    <w:rsid w:val="00514ECA"/>
    <w:rsid w:val="005160A9"/>
    <w:rsid w:val="00523465"/>
    <w:rsid w:val="00524511"/>
    <w:rsid w:val="00525638"/>
    <w:rsid w:val="005260DB"/>
    <w:rsid w:val="005306B2"/>
    <w:rsid w:val="005358B3"/>
    <w:rsid w:val="005410EE"/>
    <w:rsid w:val="00541FE4"/>
    <w:rsid w:val="00541FEA"/>
    <w:rsid w:val="00542B2F"/>
    <w:rsid w:val="00543B33"/>
    <w:rsid w:val="00545780"/>
    <w:rsid w:val="00545E3C"/>
    <w:rsid w:val="0054747E"/>
    <w:rsid w:val="0054772B"/>
    <w:rsid w:val="00550546"/>
    <w:rsid w:val="0055190F"/>
    <w:rsid w:val="005557A6"/>
    <w:rsid w:val="00555806"/>
    <w:rsid w:val="00560D37"/>
    <w:rsid w:val="00562B17"/>
    <w:rsid w:val="00562D4E"/>
    <w:rsid w:val="00563350"/>
    <w:rsid w:val="00564925"/>
    <w:rsid w:val="00565556"/>
    <w:rsid w:val="005658E7"/>
    <w:rsid w:val="00571E82"/>
    <w:rsid w:val="00576C44"/>
    <w:rsid w:val="005825BD"/>
    <w:rsid w:val="00582D6F"/>
    <w:rsid w:val="005843FA"/>
    <w:rsid w:val="00584807"/>
    <w:rsid w:val="00587BA8"/>
    <w:rsid w:val="00587F30"/>
    <w:rsid w:val="00590BC9"/>
    <w:rsid w:val="005914F5"/>
    <w:rsid w:val="00591C19"/>
    <w:rsid w:val="00592843"/>
    <w:rsid w:val="00592A52"/>
    <w:rsid w:val="0059493B"/>
    <w:rsid w:val="005957CD"/>
    <w:rsid w:val="00596C15"/>
    <w:rsid w:val="005A0166"/>
    <w:rsid w:val="005A350D"/>
    <w:rsid w:val="005A4252"/>
    <w:rsid w:val="005A570F"/>
    <w:rsid w:val="005A70DC"/>
    <w:rsid w:val="005B20C8"/>
    <w:rsid w:val="005B23F2"/>
    <w:rsid w:val="005B2FF6"/>
    <w:rsid w:val="005B509F"/>
    <w:rsid w:val="005C1639"/>
    <w:rsid w:val="005D08B4"/>
    <w:rsid w:val="005D1984"/>
    <w:rsid w:val="005D568A"/>
    <w:rsid w:val="005E18F6"/>
    <w:rsid w:val="005E25F8"/>
    <w:rsid w:val="005E347D"/>
    <w:rsid w:val="005E503C"/>
    <w:rsid w:val="005E758F"/>
    <w:rsid w:val="005F08E8"/>
    <w:rsid w:val="005F2BB5"/>
    <w:rsid w:val="005F374B"/>
    <w:rsid w:val="005F58D4"/>
    <w:rsid w:val="005F69D9"/>
    <w:rsid w:val="00601730"/>
    <w:rsid w:val="00601DA0"/>
    <w:rsid w:val="0060286C"/>
    <w:rsid w:val="006041CD"/>
    <w:rsid w:val="006067F3"/>
    <w:rsid w:val="00607907"/>
    <w:rsid w:val="00610FD4"/>
    <w:rsid w:val="006133A0"/>
    <w:rsid w:val="00616964"/>
    <w:rsid w:val="00617846"/>
    <w:rsid w:val="00621CA9"/>
    <w:rsid w:val="006234D1"/>
    <w:rsid w:val="006237C1"/>
    <w:rsid w:val="00626185"/>
    <w:rsid w:val="006272DF"/>
    <w:rsid w:val="0063002B"/>
    <w:rsid w:val="0063096F"/>
    <w:rsid w:val="00631603"/>
    <w:rsid w:val="00633113"/>
    <w:rsid w:val="006336EB"/>
    <w:rsid w:val="00633D86"/>
    <w:rsid w:val="00634512"/>
    <w:rsid w:val="00636492"/>
    <w:rsid w:val="00640041"/>
    <w:rsid w:val="006429C6"/>
    <w:rsid w:val="00644407"/>
    <w:rsid w:val="00645FEE"/>
    <w:rsid w:val="00646445"/>
    <w:rsid w:val="00650888"/>
    <w:rsid w:val="00655B6A"/>
    <w:rsid w:val="006608F3"/>
    <w:rsid w:val="0066442D"/>
    <w:rsid w:val="00665094"/>
    <w:rsid w:val="00665BDE"/>
    <w:rsid w:val="00665E3F"/>
    <w:rsid w:val="00666DF5"/>
    <w:rsid w:val="00671569"/>
    <w:rsid w:val="006733E8"/>
    <w:rsid w:val="00674642"/>
    <w:rsid w:val="00675B15"/>
    <w:rsid w:val="0067705A"/>
    <w:rsid w:val="00677F1F"/>
    <w:rsid w:val="00681132"/>
    <w:rsid w:val="0068134E"/>
    <w:rsid w:val="0068305B"/>
    <w:rsid w:val="00685767"/>
    <w:rsid w:val="006871C9"/>
    <w:rsid w:val="00691AB7"/>
    <w:rsid w:val="00692620"/>
    <w:rsid w:val="00692670"/>
    <w:rsid w:val="006952A1"/>
    <w:rsid w:val="00696B0E"/>
    <w:rsid w:val="00696CB0"/>
    <w:rsid w:val="00697547"/>
    <w:rsid w:val="006A082E"/>
    <w:rsid w:val="006A162F"/>
    <w:rsid w:val="006A3097"/>
    <w:rsid w:val="006A312A"/>
    <w:rsid w:val="006A36C6"/>
    <w:rsid w:val="006A3981"/>
    <w:rsid w:val="006B010C"/>
    <w:rsid w:val="006B1C07"/>
    <w:rsid w:val="006B2687"/>
    <w:rsid w:val="006B5797"/>
    <w:rsid w:val="006C2B2F"/>
    <w:rsid w:val="006C3170"/>
    <w:rsid w:val="006C6076"/>
    <w:rsid w:val="006C6236"/>
    <w:rsid w:val="006C7F74"/>
    <w:rsid w:val="006D000D"/>
    <w:rsid w:val="006D0249"/>
    <w:rsid w:val="006D05C6"/>
    <w:rsid w:val="006D14D6"/>
    <w:rsid w:val="006D1789"/>
    <w:rsid w:val="006D2633"/>
    <w:rsid w:val="006D3589"/>
    <w:rsid w:val="006D3666"/>
    <w:rsid w:val="006D6C4C"/>
    <w:rsid w:val="006E06CF"/>
    <w:rsid w:val="006E0C6F"/>
    <w:rsid w:val="006E33F9"/>
    <w:rsid w:val="006E547D"/>
    <w:rsid w:val="006E615B"/>
    <w:rsid w:val="006E636B"/>
    <w:rsid w:val="006E69B7"/>
    <w:rsid w:val="006E6A09"/>
    <w:rsid w:val="006F024E"/>
    <w:rsid w:val="006F1393"/>
    <w:rsid w:val="006F1B6A"/>
    <w:rsid w:val="006F21B6"/>
    <w:rsid w:val="006F372D"/>
    <w:rsid w:val="006F4F82"/>
    <w:rsid w:val="006F6049"/>
    <w:rsid w:val="00701CE6"/>
    <w:rsid w:val="00703B13"/>
    <w:rsid w:val="00707559"/>
    <w:rsid w:val="00707807"/>
    <w:rsid w:val="00707F9B"/>
    <w:rsid w:val="00710188"/>
    <w:rsid w:val="00710B56"/>
    <w:rsid w:val="00710DD4"/>
    <w:rsid w:val="00711487"/>
    <w:rsid w:val="00711726"/>
    <w:rsid w:val="00712BF0"/>
    <w:rsid w:val="007150D8"/>
    <w:rsid w:val="007160BE"/>
    <w:rsid w:val="007218FE"/>
    <w:rsid w:val="00722590"/>
    <w:rsid w:val="007256B9"/>
    <w:rsid w:val="00725825"/>
    <w:rsid w:val="00726377"/>
    <w:rsid w:val="00734DAF"/>
    <w:rsid w:val="00736B63"/>
    <w:rsid w:val="00737744"/>
    <w:rsid w:val="007417E7"/>
    <w:rsid w:val="00742C68"/>
    <w:rsid w:val="00742FF9"/>
    <w:rsid w:val="00745F3D"/>
    <w:rsid w:val="00747759"/>
    <w:rsid w:val="00747BB0"/>
    <w:rsid w:val="00747EA5"/>
    <w:rsid w:val="007520A0"/>
    <w:rsid w:val="007528A0"/>
    <w:rsid w:val="00752969"/>
    <w:rsid w:val="00755ED9"/>
    <w:rsid w:val="0075795A"/>
    <w:rsid w:val="00757961"/>
    <w:rsid w:val="00760AE7"/>
    <w:rsid w:val="00761A04"/>
    <w:rsid w:val="00762BD3"/>
    <w:rsid w:val="00764D1E"/>
    <w:rsid w:val="0076662F"/>
    <w:rsid w:val="00766AF9"/>
    <w:rsid w:val="00766E68"/>
    <w:rsid w:val="00771365"/>
    <w:rsid w:val="00771840"/>
    <w:rsid w:val="007735B8"/>
    <w:rsid w:val="00773C4E"/>
    <w:rsid w:val="0077673C"/>
    <w:rsid w:val="007808CF"/>
    <w:rsid w:val="0078164D"/>
    <w:rsid w:val="007834AF"/>
    <w:rsid w:val="00783649"/>
    <w:rsid w:val="0078499A"/>
    <w:rsid w:val="00790BF8"/>
    <w:rsid w:val="007929AF"/>
    <w:rsid w:val="00792C9A"/>
    <w:rsid w:val="00792E4F"/>
    <w:rsid w:val="00792FC8"/>
    <w:rsid w:val="00795588"/>
    <w:rsid w:val="00795B39"/>
    <w:rsid w:val="0079686A"/>
    <w:rsid w:val="00796CA8"/>
    <w:rsid w:val="00796F36"/>
    <w:rsid w:val="007A18CC"/>
    <w:rsid w:val="007A2AFE"/>
    <w:rsid w:val="007A2C61"/>
    <w:rsid w:val="007A2F6E"/>
    <w:rsid w:val="007A325D"/>
    <w:rsid w:val="007A44FA"/>
    <w:rsid w:val="007A4A9C"/>
    <w:rsid w:val="007A57D9"/>
    <w:rsid w:val="007A6E43"/>
    <w:rsid w:val="007A70E2"/>
    <w:rsid w:val="007B2159"/>
    <w:rsid w:val="007B24CF"/>
    <w:rsid w:val="007B28BD"/>
    <w:rsid w:val="007B3115"/>
    <w:rsid w:val="007B5343"/>
    <w:rsid w:val="007B5ED4"/>
    <w:rsid w:val="007C0C63"/>
    <w:rsid w:val="007C0CEE"/>
    <w:rsid w:val="007C1DCD"/>
    <w:rsid w:val="007C47F0"/>
    <w:rsid w:val="007C5CE1"/>
    <w:rsid w:val="007C7FBF"/>
    <w:rsid w:val="007D0110"/>
    <w:rsid w:val="007D341F"/>
    <w:rsid w:val="007D4520"/>
    <w:rsid w:val="007E3AA7"/>
    <w:rsid w:val="007E429D"/>
    <w:rsid w:val="007E687D"/>
    <w:rsid w:val="007E74E9"/>
    <w:rsid w:val="007F1853"/>
    <w:rsid w:val="00800C22"/>
    <w:rsid w:val="00802693"/>
    <w:rsid w:val="00804ACF"/>
    <w:rsid w:val="00805447"/>
    <w:rsid w:val="00805F83"/>
    <w:rsid w:val="00806529"/>
    <w:rsid w:val="00806A1F"/>
    <w:rsid w:val="008075C8"/>
    <w:rsid w:val="00811043"/>
    <w:rsid w:val="00816986"/>
    <w:rsid w:val="00816C82"/>
    <w:rsid w:val="00817C08"/>
    <w:rsid w:val="008203D7"/>
    <w:rsid w:val="00821A96"/>
    <w:rsid w:val="0083249B"/>
    <w:rsid w:val="008332F5"/>
    <w:rsid w:val="00834673"/>
    <w:rsid w:val="00834DAA"/>
    <w:rsid w:val="00836654"/>
    <w:rsid w:val="00840317"/>
    <w:rsid w:val="008405E9"/>
    <w:rsid w:val="00840771"/>
    <w:rsid w:val="008435DE"/>
    <w:rsid w:val="00843C75"/>
    <w:rsid w:val="00843CCF"/>
    <w:rsid w:val="00844000"/>
    <w:rsid w:val="0085246F"/>
    <w:rsid w:val="008548DF"/>
    <w:rsid w:val="0085518B"/>
    <w:rsid w:val="00856D3C"/>
    <w:rsid w:val="008573F5"/>
    <w:rsid w:val="00865255"/>
    <w:rsid w:val="0087078A"/>
    <w:rsid w:val="00871A39"/>
    <w:rsid w:val="0087225D"/>
    <w:rsid w:val="00872ED3"/>
    <w:rsid w:val="008752A1"/>
    <w:rsid w:val="00881DC3"/>
    <w:rsid w:val="008830CA"/>
    <w:rsid w:val="008859AC"/>
    <w:rsid w:val="00890F0E"/>
    <w:rsid w:val="00891DC9"/>
    <w:rsid w:val="00892A9F"/>
    <w:rsid w:val="00895548"/>
    <w:rsid w:val="008A0FF6"/>
    <w:rsid w:val="008A2E4A"/>
    <w:rsid w:val="008A4678"/>
    <w:rsid w:val="008A6488"/>
    <w:rsid w:val="008A78A8"/>
    <w:rsid w:val="008B15CB"/>
    <w:rsid w:val="008B4F49"/>
    <w:rsid w:val="008C0A8E"/>
    <w:rsid w:val="008C0F98"/>
    <w:rsid w:val="008C1A14"/>
    <w:rsid w:val="008C1BBB"/>
    <w:rsid w:val="008C1F44"/>
    <w:rsid w:val="008C2BBD"/>
    <w:rsid w:val="008C6210"/>
    <w:rsid w:val="008C6D73"/>
    <w:rsid w:val="008D0088"/>
    <w:rsid w:val="008D1AC5"/>
    <w:rsid w:val="008D254A"/>
    <w:rsid w:val="008D2A26"/>
    <w:rsid w:val="008D32AA"/>
    <w:rsid w:val="008D3C74"/>
    <w:rsid w:val="008D43FC"/>
    <w:rsid w:val="008D44FE"/>
    <w:rsid w:val="008D5508"/>
    <w:rsid w:val="008E079D"/>
    <w:rsid w:val="008E1085"/>
    <w:rsid w:val="008E366A"/>
    <w:rsid w:val="008E36D5"/>
    <w:rsid w:val="008E518A"/>
    <w:rsid w:val="008E67B6"/>
    <w:rsid w:val="008E6E09"/>
    <w:rsid w:val="008F6A0C"/>
    <w:rsid w:val="00901F95"/>
    <w:rsid w:val="009027C9"/>
    <w:rsid w:val="00903A2D"/>
    <w:rsid w:val="009043D9"/>
    <w:rsid w:val="00904947"/>
    <w:rsid w:val="00905362"/>
    <w:rsid w:val="00906259"/>
    <w:rsid w:val="00912FE5"/>
    <w:rsid w:val="009137A8"/>
    <w:rsid w:val="009157D2"/>
    <w:rsid w:val="00917745"/>
    <w:rsid w:val="009177A9"/>
    <w:rsid w:val="009236DB"/>
    <w:rsid w:val="009267E1"/>
    <w:rsid w:val="00927EBB"/>
    <w:rsid w:val="00931D14"/>
    <w:rsid w:val="009322E7"/>
    <w:rsid w:val="009339C1"/>
    <w:rsid w:val="00934310"/>
    <w:rsid w:val="009343F8"/>
    <w:rsid w:val="009354DA"/>
    <w:rsid w:val="00937D01"/>
    <w:rsid w:val="009428CE"/>
    <w:rsid w:val="00943882"/>
    <w:rsid w:val="00943F23"/>
    <w:rsid w:val="0094461F"/>
    <w:rsid w:val="009454A2"/>
    <w:rsid w:val="00945AFE"/>
    <w:rsid w:val="00945B60"/>
    <w:rsid w:val="00946F4A"/>
    <w:rsid w:val="00947055"/>
    <w:rsid w:val="0095034D"/>
    <w:rsid w:val="009514B2"/>
    <w:rsid w:val="0095235E"/>
    <w:rsid w:val="009532DA"/>
    <w:rsid w:val="00954CFE"/>
    <w:rsid w:val="00956BA7"/>
    <w:rsid w:val="009625C5"/>
    <w:rsid w:val="00965204"/>
    <w:rsid w:val="009663C9"/>
    <w:rsid w:val="009673C9"/>
    <w:rsid w:val="00971D98"/>
    <w:rsid w:val="00972504"/>
    <w:rsid w:val="00972DEF"/>
    <w:rsid w:val="00972E24"/>
    <w:rsid w:val="00974F81"/>
    <w:rsid w:val="00976B35"/>
    <w:rsid w:val="0098258C"/>
    <w:rsid w:val="00982955"/>
    <w:rsid w:val="009849A5"/>
    <w:rsid w:val="009855DC"/>
    <w:rsid w:val="00991B1A"/>
    <w:rsid w:val="009952F1"/>
    <w:rsid w:val="009A1524"/>
    <w:rsid w:val="009A3BBC"/>
    <w:rsid w:val="009A45F9"/>
    <w:rsid w:val="009A5429"/>
    <w:rsid w:val="009B415D"/>
    <w:rsid w:val="009B5806"/>
    <w:rsid w:val="009C25A8"/>
    <w:rsid w:val="009C3B3A"/>
    <w:rsid w:val="009C4CC6"/>
    <w:rsid w:val="009C6250"/>
    <w:rsid w:val="009D14C7"/>
    <w:rsid w:val="009D2123"/>
    <w:rsid w:val="009D31FF"/>
    <w:rsid w:val="009E07D1"/>
    <w:rsid w:val="009E28C4"/>
    <w:rsid w:val="009E426E"/>
    <w:rsid w:val="009E4279"/>
    <w:rsid w:val="009E4588"/>
    <w:rsid w:val="009E47CE"/>
    <w:rsid w:val="009F2591"/>
    <w:rsid w:val="009F55AE"/>
    <w:rsid w:val="009F7EF5"/>
    <w:rsid w:val="00A00483"/>
    <w:rsid w:val="00A0116B"/>
    <w:rsid w:val="00A02393"/>
    <w:rsid w:val="00A0293E"/>
    <w:rsid w:val="00A06264"/>
    <w:rsid w:val="00A17AE0"/>
    <w:rsid w:val="00A256B3"/>
    <w:rsid w:val="00A277E6"/>
    <w:rsid w:val="00A32E37"/>
    <w:rsid w:val="00A33378"/>
    <w:rsid w:val="00A3438B"/>
    <w:rsid w:val="00A36275"/>
    <w:rsid w:val="00A36723"/>
    <w:rsid w:val="00A41ED6"/>
    <w:rsid w:val="00A42CD8"/>
    <w:rsid w:val="00A43414"/>
    <w:rsid w:val="00A45BBB"/>
    <w:rsid w:val="00A4646F"/>
    <w:rsid w:val="00A46ABB"/>
    <w:rsid w:val="00A52100"/>
    <w:rsid w:val="00A52685"/>
    <w:rsid w:val="00A5344B"/>
    <w:rsid w:val="00A55C5F"/>
    <w:rsid w:val="00A604DC"/>
    <w:rsid w:val="00A606AA"/>
    <w:rsid w:val="00A61B4B"/>
    <w:rsid w:val="00A64763"/>
    <w:rsid w:val="00A65C88"/>
    <w:rsid w:val="00A66E06"/>
    <w:rsid w:val="00A71A6E"/>
    <w:rsid w:val="00A71E0A"/>
    <w:rsid w:val="00A728AC"/>
    <w:rsid w:val="00A75E86"/>
    <w:rsid w:val="00A80636"/>
    <w:rsid w:val="00A80B7F"/>
    <w:rsid w:val="00A81659"/>
    <w:rsid w:val="00A81AF1"/>
    <w:rsid w:val="00A848AF"/>
    <w:rsid w:val="00A84A16"/>
    <w:rsid w:val="00A87FC5"/>
    <w:rsid w:val="00A9263D"/>
    <w:rsid w:val="00A929F6"/>
    <w:rsid w:val="00A95A0F"/>
    <w:rsid w:val="00A95A95"/>
    <w:rsid w:val="00A97A2F"/>
    <w:rsid w:val="00AA00F1"/>
    <w:rsid w:val="00AA05C7"/>
    <w:rsid w:val="00AA19AF"/>
    <w:rsid w:val="00AA23BE"/>
    <w:rsid w:val="00AA289E"/>
    <w:rsid w:val="00AA2C2C"/>
    <w:rsid w:val="00AA3FD8"/>
    <w:rsid w:val="00AA4FE7"/>
    <w:rsid w:val="00AA72E3"/>
    <w:rsid w:val="00AA798F"/>
    <w:rsid w:val="00AC1093"/>
    <w:rsid w:val="00AC57A1"/>
    <w:rsid w:val="00AC6232"/>
    <w:rsid w:val="00AC7E43"/>
    <w:rsid w:val="00AC7F6D"/>
    <w:rsid w:val="00AD0160"/>
    <w:rsid w:val="00AD0586"/>
    <w:rsid w:val="00AD0BF9"/>
    <w:rsid w:val="00AD1392"/>
    <w:rsid w:val="00AD48B1"/>
    <w:rsid w:val="00AD518A"/>
    <w:rsid w:val="00AD5CEF"/>
    <w:rsid w:val="00AD6251"/>
    <w:rsid w:val="00AE0CDD"/>
    <w:rsid w:val="00AE1B61"/>
    <w:rsid w:val="00AE2133"/>
    <w:rsid w:val="00AE2F95"/>
    <w:rsid w:val="00AE3771"/>
    <w:rsid w:val="00AE47B7"/>
    <w:rsid w:val="00AE7866"/>
    <w:rsid w:val="00AF1E99"/>
    <w:rsid w:val="00AF2828"/>
    <w:rsid w:val="00AF2EAF"/>
    <w:rsid w:val="00AF515C"/>
    <w:rsid w:val="00AF69A9"/>
    <w:rsid w:val="00AF6FB8"/>
    <w:rsid w:val="00AF7088"/>
    <w:rsid w:val="00AF777C"/>
    <w:rsid w:val="00B018DD"/>
    <w:rsid w:val="00B01AB6"/>
    <w:rsid w:val="00B01CAD"/>
    <w:rsid w:val="00B02336"/>
    <w:rsid w:val="00B04388"/>
    <w:rsid w:val="00B0577F"/>
    <w:rsid w:val="00B07298"/>
    <w:rsid w:val="00B107D0"/>
    <w:rsid w:val="00B11F86"/>
    <w:rsid w:val="00B14250"/>
    <w:rsid w:val="00B1688F"/>
    <w:rsid w:val="00B21CDE"/>
    <w:rsid w:val="00B22243"/>
    <w:rsid w:val="00B22BEC"/>
    <w:rsid w:val="00B24F25"/>
    <w:rsid w:val="00B2603E"/>
    <w:rsid w:val="00B324DE"/>
    <w:rsid w:val="00B32EE4"/>
    <w:rsid w:val="00B34D8D"/>
    <w:rsid w:val="00B37AF7"/>
    <w:rsid w:val="00B409D8"/>
    <w:rsid w:val="00B42D57"/>
    <w:rsid w:val="00B44190"/>
    <w:rsid w:val="00B469AC"/>
    <w:rsid w:val="00B46C90"/>
    <w:rsid w:val="00B47791"/>
    <w:rsid w:val="00B54B05"/>
    <w:rsid w:val="00B54FC7"/>
    <w:rsid w:val="00B5703D"/>
    <w:rsid w:val="00B57555"/>
    <w:rsid w:val="00B6182B"/>
    <w:rsid w:val="00B61AC2"/>
    <w:rsid w:val="00B62800"/>
    <w:rsid w:val="00B62A8C"/>
    <w:rsid w:val="00B62D89"/>
    <w:rsid w:val="00B63A76"/>
    <w:rsid w:val="00B64395"/>
    <w:rsid w:val="00B6449C"/>
    <w:rsid w:val="00B64715"/>
    <w:rsid w:val="00B653BB"/>
    <w:rsid w:val="00B677A8"/>
    <w:rsid w:val="00B700D0"/>
    <w:rsid w:val="00B70ADB"/>
    <w:rsid w:val="00B70D43"/>
    <w:rsid w:val="00B71BF3"/>
    <w:rsid w:val="00B71DD9"/>
    <w:rsid w:val="00B76C5B"/>
    <w:rsid w:val="00B77246"/>
    <w:rsid w:val="00B77DCA"/>
    <w:rsid w:val="00B803CB"/>
    <w:rsid w:val="00B80A4E"/>
    <w:rsid w:val="00B81AA0"/>
    <w:rsid w:val="00B83CD4"/>
    <w:rsid w:val="00B84DC6"/>
    <w:rsid w:val="00B85007"/>
    <w:rsid w:val="00B8689F"/>
    <w:rsid w:val="00B871B0"/>
    <w:rsid w:val="00B8739B"/>
    <w:rsid w:val="00B87708"/>
    <w:rsid w:val="00B959A6"/>
    <w:rsid w:val="00B967E0"/>
    <w:rsid w:val="00B969B1"/>
    <w:rsid w:val="00BA215F"/>
    <w:rsid w:val="00BA39A9"/>
    <w:rsid w:val="00BA76A7"/>
    <w:rsid w:val="00BB16BE"/>
    <w:rsid w:val="00BB18C9"/>
    <w:rsid w:val="00BB32B0"/>
    <w:rsid w:val="00BB75D1"/>
    <w:rsid w:val="00BC06BC"/>
    <w:rsid w:val="00BC1CF1"/>
    <w:rsid w:val="00BC377B"/>
    <w:rsid w:val="00BC53DA"/>
    <w:rsid w:val="00BC5830"/>
    <w:rsid w:val="00BC5C3B"/>
    <w:rsid w:val="00BD20A5"/>
    <w:rsid w:val="00BD22F4"/>
    <w:rsid w:val="00BD3106"/>
    <w:rsid w:val="00BD6C36"/>
    <w:rsid w:val="00BE14D5"/>
    <w:rsid w:val="00BE333B"/>
    <w:rsid w:val="00BE4D73"/>
    <w:rsid w:val="00BE6E9B"/>
    <w:rsid w:val="00BF0869"/>
    <w:rsid w:val="00BF0D9A"/>
    <w:rsid w:val="00BF1E05"/>
    <w:rsid w:val="00BF327E"/>
    <w:rsid w:val="00BF3947"/>
    <w:rsid w:val="00BF56F4"/>
    <w:rsid w:val="00C00987"/>
    <w:rsid w:val="00C035E5"/>
    <w:rsid w:val="00C04BD8"/>
    <w:rsid w:val="00C06457"/>
    <w:rsid w:val="00C070E3"/>
    <w:rsid w:val="00C07687"/>
    <w:rsid w:val="00C07BFA"/>
    <w:rsid w:val="00C11517"/>
    <w:rsid w:val="00C116BB"/>
    <w:rsid w:val="00C11D1F"/>
    <w:rsid w:val="00C11F34"/>
    <w:rsid w:val="00C12F4C"/>
    <w:rsid w:val="00C13797"/>
    <w:rsid w:val="00C13C7B"/>
    <w:rsid w:val="00C160F8"/>
    <w:rsid w:val="00C17933"/>
    <w:rsid w:val="00C17CC2"/>
    <w:rsid w:val="00C213D8"/>
    <w:rsid w:val="00C228D8"/>
    <w:rsid w:val="00C23B8A"/>
    <w:rsid w:val="00C23EC0"/>
    <w:rsid w:val="00C24606"/>
    <w:rsid w:val="00C24A88"/>
    <w:rsid w:val="00C24C38"/>
    <w:rsid w:val="00C24DF1"/>
    <w:rsid w:val="00C27232"/>
    <w:rsid w:val="00C279B4"/>
    <w:rsid w:val="00C31073"/>
    <w:rsid w:val="00C32629"/>
    <w:rsid w:val="00C32DCF"/>
    <w:rsid w:val="00C32F55"/>
    <w:rsid w:val="00C35149"/>
    <w:rsid w:val="00C36C19"/>
    <w:rsid w:val="00C37005"/>
    <w:rsid w:val="00C407A0"/>
    <w:rsid w:val="00C43086"/>
    <w:rsid w:val="00C43788"/>
    <w:rsid w:val="00C44756"/>
    <w:rsid w:val="00C47A56"/>
    <w:rsid w:val="00C47EA9"/>
    <w:rsid w:val="00C513D2"/>
    <w:rsid w:val="00C51562"/>
    <w:rsid w:val="00C538C9"/>
    <w:rsid w:val="00C56543"/>
    <w:rsid w:val="00C578D1"/>
    <w:rsid w:val="00C637F0"/>
    <w:rsid w:val="00C63E8B"/>
    <w:rsid w:val="00C6437D"/>
    <w:rsid w:val="00C64712"/>
    <w:rsid w:val="00C65F97"/>
    <w:rsid w:val="00C66CF2"/>
    <w:rsid w:val="00C67075"/>
    <w:rsid w:val="00C709A4"/>
    <w:rsid w:val="00C709C0"/>
    <w:rsid w:val="00C74395"/>
    <w:rsid w:val="00C7680B"/>
    <w:rsid w:val="00C80366"/>
    <w:rsid w:val="00C81DE1"/>
    <w:rsid w:val="00C82ED6"/>
    <w:rsid w:val="00C8342E"/>
    <w:rsid w:val="00C83E75"/>
    <w:rsid w:val="00C847AA"/>
    <w:rsid w:val="00C86CA9"/>
    <w:rsid w:val="00C91853"/>
    <w:rsid w:val="00C940EC"/>
    <w:rsid w:val="00C940F5"/>
    <w:rsid w:val="00C9655D"/>
    <w:rsid w:val="00CA02DD"/>
    <w:rsid w:val="00CA1C9D"/>
    <w:rsid w:val="00CA315D"/>
    <w:rsid w:val="00CA4287"/>
    <w:rsid w:val="00CB0187"/>
    <w:rsid w:val="00CB037A"/>
    <w:rsid w:val="00CB0A6C"/>
    <w:rsid w:val="00CB4F02"/>
    <w:rsid w:val="00CB5CB2"/>
    <w:rsid w:val="00CB6D9B"/>
    <w:rsid w:val="00CB6EE2"/>
    <w:rsid w:val="00CB7749"/>
    <w:rsid w:val="00CC1226"/>
    <w:rsid w:val="00CC48DF"/>
    <w:rsid w:val="00CC4E86"/>
    <w:rsid w:val="00CC5E62"/>
    <w:rsid w:val="00CD04D3"/>
    <w:rsid w:val="00CD1EB0"/>
    <w:rsid w:val="00CD22EA"/>
    <w:rsid w:val="00CD23D4"/>
    <w:rsid w:val="00CD75C1"/>
    <w:rsid w:val="00CE1780"/>
    <w:rsid w:val="00CE1C05"/>
    <w:rsid w:val="00CF09E5"/>
    <w:rsid w:val="00CF22A5"/>
    <w:rsid w:val="00CF3652"/>
    <w:rsid w:val="00CF51C8"/>
    <w:rsid w:val="00CF7952"/>
    <w:rsid w:val="00CF7A32"/>
    <w:rsid w:val="00D01070"/>
    <w:rsid w:val="00D0248C"/>
    <w:rsid w:val="00D02895"/>
    <w:rsid w:val="00D047F5"/>
    <w:rsid w:val="00D07AC4"/>
    <w:rsid w:val="00D11209"/>
    <w:rsid w:val="00D126CE"/>
    <w:rsid w:val="00D12EAA"/>
    <w:rsid w:val="00D13160"/>
    <w:rsid w:val="00D13DF6"/>
    <w:rsid w:val="00D16FC5"/>
    <w:rsid w:val="00D20BDF"/>
    <w:rsid w:val="00D2191F"/>
    <w:rsid w:val="00D252C7"/>
    <w:rsid w:val="00D277A4"/>
    <w:rsid w:val="00D32F90"/>
    <w:rsid w:val="00D35D80"/>
    <w:rsid w:val="00D37E86"/>
    <w:rsid w:val="00D445A9"/>
    <w:rsid w:val="00D44ABA"/>
    <w:rsid w:val="00D4516E"/>
    <w:rsid w:val="00D458C7"/>
    <w:rsid w:val="00D45E7A"/>
    <w:rsid w:val="00D46F67"/>
    <w:rsid w:val="00D527C5"/>
    <w:rsid w:val="00D52894"/>
    <w:rsid w:val="00D54147"/>
    <w:rsid w:val="00D55607"/>
    <w:rsid w:val="00D56B17"/>
    <w:rsid w:val="00D60681"/>
    <w:rsid w:val="00D606C4"/>
    <w:rsid w:val="00D619EE"/>
    <w:rsid w:val="00D62076"/>
    <w:rsid w:val="00D63272"/>
    <w:rsid w:val="00D67E9F"/>
    <w:rsid w:val="00D67EFF"/>
    <w:rsid w:val="00D67FD0"/>
    <w:rsid w:val="00D7359D"/>
    <w:rsid w:val="00D743D1"/>
    <w:rsid w:val="00D7462E"/>
    <w:rsid w:val="00D747B8"/>
    <w:rsid w:val="00D74B1F"/>
    <w:rsid w:val="00D74C74"/>
    <w:rsid w:val="00D75294"/>
    <w:rsid w:val="00D771EC"/>
    <w:rsid w:val="00D8246F"/>
    <w:rsid w:val="00D843F4"/>
    <w:rsid w:val="00D84B80"/>
    <w:rsid w:val="00D8552E"/>
    <w:rsid w:val="00D90C7B"/>
    <w:rsid w:val="00D946CA"/>
    <w:rsid w:val="00D95C65"/>
    <w:rsid w:val="00DA1101"/>
    <w:rsid w:val="00DA1123"/>
    <w:rsid w:val="00DA356C"/>
    <w:rsid w:val="00DA35DA"/>
    <w:rsid w:val="00DA3992"/>
    <w:rsid w:val="00DA4E60"/>
    <w:rsid w:val="00DA4EDD"/>
    <w:rsid w:val="00DA522C"/>
    <w:rsid w:val="00DB00A1"/>
    <w:rsid w:val="00DB0A21"/>
    <w:rsid w:val="00DB14E5"/>
    <w:rsid w:val="00DB364D"/>
    <w:rsid w:val="00DB4246"/>
    <w:rsid w:val="00DB57CB"/>
    <w:rsid w:val="00DB670D"/>
    <w:rsid w:val="00DB7CB7"/>
    <w:rsid w:val="00DC006D"/>
    <w:rsid w:val="00DC360E"/>
    <w:rsid w:val="00DC5BD9"/>
    <w:rsid w:val="00DC6FCB"/>
    <w:rsid w:val="00DD08B5"/>
    <w:rsid w:val="00DD2A28"/>
    <w:rsid w:val="00DD5FB7"/>
    <w:rsid w:val="00DD62B4"/>
    <w:rsid w:val="00DE3615"/>
    <w:rsid w:val="00DE37BA"/>
    <w:rsid w:val="00DE484A"/>
    <w:rsid w:val="00DF1DA6"/>
    <w:rsid w:val="00DF4746"/>
    <w:rsid w:val="00DF5F3D"/>
    <w:rsid w:val="00E01688"/>
    <w:rsid w:val="00E03485"/>
    <w:rsid w:val="00E1224E"/>
    <w:rsid w:val="00E1304D"/>
    <w:rsid w:val="00E13F1D"/>
    <w:rsid w:val="00E14426"/>
    <w:rsid w:val="00E17043"/>
    <w:rsid w:val="00E20F06"/>
    <w:rsid w:val="00E228A1"/>
    <w:rsid w:val="00E24D22"/>
    <w:rsid w:val="00E262B7"/>
    <w:rsid w:val="00E30FAD"/>
    <w:rsid w:val="00E35089"/>
    <w:rsid w:val="00E35361"/>
    <w:rsid w:val="00E35697"/>
    <w:rsid w:val="00E364AF"/>
    <w:rsid w:val="00E367DB"/>
    <w:rsid w:val="00E41FEA"/>
    <w:rsid w:val="00E427E2"/>
    <w:rsid w:val="00E45668"/>
    <w:rsid w:val="00E456D3"/>
    <w:rsid w:val="00E45BC0"/>
    <w:rsid w:val="00E532FD"/>
    <w:rsid w:val="00E53D12"/>
    <w:rsid w:val="00E54D4B"/>
    <w:rsid w:val="00E570DC"/>
    <w:rsid w:val="00E57468"/>
    <w:rsid w:val="00E6017A"/>
    <w:rsid w:val="00E613F1"/>
    <w:rsid w:val="00E71B6F"/>
    <w:rsid w:val="00E7226E"/>
    <w:rsid w:val="00E7384F"/>
    <w:rsid w:val="00E77265"/>
    <w:rsid w:val="00E77CEF"/>
    <w:rsid w:val="00E77E02"/>
    <w:rsid w:val="00E81086"/>
    <w:rsid w:val="00E81C84"/>
    <w:rsid w:val="00E823CA"/>
    <w:rsid w:val="00E84FE1"/>
    <w:rsid w:val="00E8554F"/>
    <w:rsid w:val="00E86BF3"/>
    <w:rsid w:val="00E86D18"/>
    <w:rsid w:val="00E879DD"/>
    <w:rsid w:val="00E91393"/>
    <w:rsid w:val="00E920E8"/>
    <w:rsid w:val="00E9515A"/>
    <w:rsid w:val="00E96D0C"/>
    <w:rsid w:val="00EA043F"/>
    <w:rsid w:val="00EA1A42"/>
    <w:rsid w:val="00EA4160"/>
    <w:rsid w:val="00EA4C55"/>
    <w:rsid w:val="00EA58E4"/>
    <w:rsid w:val="00EA7AB9"/>
    <w:rsid w:val="00EB2624"/>
    <w:rsid w:val="00EB3FE5"/>
    <w:rsid w:val="00EB72D4"/>
    <w:rsid w:val="00EB72EC"/>
    <w:rsid w:val="00EB7AC1"/>
    <w:rsid w:val="00EC07E8"/>
    <w:rsid w:val="00EC1DC0"/>
    <w:rsid w:val="00EC45A1"/>
    <w:rsid w:val="00EC6D85"/>
    <w:rsid w:val="00ED14AB"/>
    <w:rsid w:val="00ED7DA9"/>
    <w:rsid w:val="00EE0D1C"/>
    <w:rsid w:val="00EE38DA"/>
    <w:rsid w:val="00EE3F15"/>
    <w:rsid w:val="00EE4E09"/>
    <w:rsid w:val="00EE5CB3"/>
    <w:rsid w:val="00EE6CC5"/>
    <w:rsid w:val="00EF0CD8"/>
    <w:rsid w:val="00EF26A3"/>
    <w:rsid w:val="00EF3703"/>
    <w:rsid w:val="00EF3F53"/>
    <w:rsid w:val="00EF4A24"/>
    <w:rsid w:val="00EF4A7D"/>
    <w:rsid w:val="00EF607F"/>
    <w:rsid w:val="00EF6570"/>
    <w:rsid w:val="00EF691F"/>
    <w:rsid w:val="00EF6E6D"/>
    <w:rsid w:val="00EF7804"/>
    <w:rsid w:val="00F02083"/>
    <w:rsid w:val="00F04E9D"/>
    <w:rsid w:val="00F07B65"/>
    <w:rsid w:val="00F1177D"/>
    <w:rsid w:val="00F15066"/>
    <w:rsid w:val="00F17034"/>
    <w:rsid w:val="00F20902"/>
    <w:rsid w:val="00F22573"/>
    <w:rsid w:val="00F23476"/>
    <w:rsid w:val="00F2371E"/>
    <w:rsid w:val="00F23D3A"/>
    <w:rsid w:val="00F2477C"/>
    <w:rsid w:val="00F2646F"/>
    <w:rsid w:val="00F27056"/>
    <w:rsid w:val="00F2733E"/>
    <w:rsid w:val="00F27AF7"/>
    <w:rsid w:val="00F27FCD"/>
    <w:rsid w:val="00F31B2D"/>
    <w:rsid w:val="00F32EF8"/>
    <w:rsid w:val="00F32FE8"/>
    <w:rsid w:val="00F3353F"/>
    <w:rsid w:val="00F37E95"/>
    <w:rsid w:val="00F41A17"/>
    <w:rsid w:val="00F41CA6"/>
    <w:rsid w:val="00F43780"/>
    <w:rsid w:val="00F44760"/>
    <w:rsid w:val="00F472B3"/>
    <w:rsid w:val="00F47A92"/>
    <w:rsid w:val="00F47FCC"/>
    <w:rsid w:val="00F50C36"/>
    <w:rsid w:val="00F52CA4"/>
    <w:rsid w:val="00F53339"/>
    <w:rsid w:val="00F53497"/>
    <w:rsid w:val="00F534B6"/>
    <w:rsid w:val="00F5371C"/>
    <w:rsid w:val="00F53770"/>
    <w:rsid w:val="00F53A99"/>
    <w:rsid w:val="00F53BC5"/>
    <w:rsid w:val="00F5451D"/>
    <w:rsid w:val="00F54600"/>
    <w:rsid w:val="00F56244"/>
    <w:rsid w:val="00F56D6A"/>
    <w:rsid w:val="00F56F53"/>
    <w:rsid w:val="00F62720"/>
    <w:rsid w:val="00F64A83"/>
    <w:rsid w:val="00F64DBC"/>
    <w:rsid w:val="00F654F0"/>
    <w:rsid w:val="00F7007A"/>
    <w:rsid w:val="00F7342B"/>
    <w:rsid w:val="00F75317"/>
    <w:rsid w:val="00F77976"/>
    <w:rsid w:val="00F77F8F"/>
    <w:rsid w:val="00F806BB"/>
    <w:rsid w:val="00F84D46"/>
    <w:rsid w:val="00F8661C"/>
    <w:rsid w:val="00F92F6B"/>
    <w:rsid w:val="00F92FC9"/>
    <w:rsid w:val="00F93331"/>
    <w:rsid w:val="00F93835"/>
    <w:rsid w:val="00F95C2E"/>
    <w:rsid w:val="00F9660C"/>
    <w:rsid w:val="00FA14AF"/>
    <w:rsid w:val="00FA16A0"/>
    <w:rsid w:val="00FA1D68"/>
    <w:rsid w:val="00FA2C23"/>
    <w:rsid w:val="00FA2F7B"/>
    <w:rsid w:val="00FA4663"/>
    <w:rsid w:val="00FA5007"/>
    <w:rsid w:val="00FA5CDA"/>
    <w:rsid w:val="00FA692A"/>
    <w:rsid w:val="00FB0517"/>
    <w:rsid w:val="00FB070A"/>
    <w:rsid w:val="00FB0AFA"/>
    <w:rsid w:val="00FB373C"/>
    <w:rsid w:val="00FB3C7B"/>
    <w:rsid w:val="00FB3D21"/>
    <w:rsid w:val="00FB459C"/>
    <w:rsid w:val="00FB4B00"/>
    <w:rsid w:val="00FB4FC8"/>
    <w:rsid w:val="00FB50D9"/>
    <w:rsid w:val="00FB5EE8"/>
    <w:rsid w:val="00FB671E"/>
    <w:rsid w:val="00FB68BF"/>
    <w:rsid w:val="00FC1976"/>
    <w:rsid w:val="00FC2CA7"/>
    <w:rsid w:val="00FC3E7A"/>
    <w:rsid w:val="00FC4344"/>
    <w:rsid w:val="00FC4F76"/>
    <w:rsid w:val="00FD4223"/>
    <w:rsid w:val="00FE0399"/>
    <w:rsid w:val="00FE0DF2"/>
    <w:rsid w:val="00FE2FA8"/>
    <w:rsid w:val="00FE7854"/>
    <w:rsid w:val="00FE7A1A"/>
    <w:rsid w:val="00FE7EA6"/>
    <w:rsid w:val="00FF025B"/>
    <w:rsid w:val="00FF278A"/>
    <w:rsid w:val="00FF4B9C"/>
    <w:rsid w:val="00FF5BCF"/>
    <w:rsid w:val="144052BF"/>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1E034BB0"/>
  <w15:docId w15:val="{23E193B4-5BEA-4521-B80D-9640280D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DCD"/>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EndnoteText">
    <w:name w:val="endnote text"/>
    <w:basedOn w:val="Normal"/>
    <w:link w:val="TextvysvtlivekChar"/>
    <w:semiHidden/>
    <w:unhideWhenUsed/>
    <w:rsid w:val="00565556"/>
    <w:rPr>
      <w:sz w:val="20"/>
      <w:szCs w:val="20"/>
    </w:rPr>
  </w:style>
  <w:style w:type="character" w:customStyle="1" w:styleId="TextvysvtlivekChar">
    <w:name w:val="Text vysvětlivek Char"/>
    <w:basedOn w:val="DefaultParagraphFont"/>
    <w:link w:val="EndnoteText"/>
    <w:semiHidden/>
    <w:rsid w:val="00565556"/>
  </w:style>
  <w:style w:type="character" w:styleId="EndnoteReference">
    <w:name w:val="endnote reference"/>
    <w:basedOn w:val="DefaultParagraphFont"/>
    <w:semiHidden/>
    <w:unhideWhenUsed/>
    <w:rsid w:val="00565556"/>
    <w:rPr>
      <w:vertAlign w:val="superscript"/>
    </w:rPr>
  </w:style>
  <w:style w:type="paragraph" w:styleId="NormalWeb">
    <w:name w:val="Normal (Web)"/>
    <w:basedOn w:val="Normal"/>
    <w:uiPriority w:val="99"/>
    <w:unhideWhenUsed/>
    <w:rsid w:val="00B61AC2"/>
    <w:rPr>
      <w:rFonts w:eastAsiaTheme="minorHAnsi"/>
    </w:rPr>
  </w:style>
  <w:style w:type="paragraph" w:customStyle="1" w:styleId="Default">
    <w:name w:val="Default"/>
    <w:rsid w:val="00B61AC2"/>
    <w:pPr>
      <w:autoSpaceDE w:val="0"/>
      <w:autoSpaceDN w:val="0"/>
      <w:adjustRightInd w:val="0"/>
    </w:pPr>
    <w:rPr>
      <w:rFonts w:ascii="Arial" w:hAnsi="Arial" w:eastAsiaTheme="minorEastAsia" w:cs="Arial"/>
      <w:color w:val="000000"/>
      <w:sz w:val="24"/>
      <w:szCs w:val="24"/>
      <w:lang w:eastAsia="en-US"/>
    </w:rPr>
  </w:style>
  <w:style w:type="paragraph" w:customStyle="1" w:styleId="odstavecsodrkou">
    <w:name w:val="odstavec  s odrážkou"/>
    <w:basedOn w:val="ListParagraph"/>
    <w:qFormat/>
    <w:rsid w:val="0068305B"/>
    <w:pPr>
      <w:numPr>
        <w:ilvl w:val="1"/>
        <w:numId w:val="36"/>
      </w:numPr>
      <w:spacing w:before="120"/>
      <w:ind w:left="426" w:hanging="426"/>
      <w:jc w:val="both"/>
    </w:pPr>
    <w:rPr>
      <w:rFonts w:eastAsia="Arial"/>
      <w:iCs/>
      <w:szCs w:val="22"/>
      <w:lang w:eastAsia="en-US"/>
    </w:rPr>
  </w:style>
  <w:style w:type="paragraph" w:styleId="Revision">
    <w:name w:val="Revision"/>
    <w:hidden/>
    <w:uiPriority w:val="99"/>
    <w:semiHidden/>
    <w:rsid w:val="00601730"/>
    <w:rPr>
      <w:sz w:val="24"/>
      <w:szCs w:val="24"/>
    </w:rPr>
  </w:style>
  <w:style w:type="character" w:customStyle="1" w:styleId="UnresolvedMention">
    <w:name w:val="Unresolved Mention"/>
    <w:basedOn w:val="DefaultParagraphFont"/>
    <w:uiPriority w:val="99"/>
    <w:semiHidden/>
    <w:unhideWhenUsed/>
    <w:rsid w:val="00DB670D"/>
    <w:rPr>
      <w:color w:val="605E5C"/>
      <w:shd w:val="clear" w:color="auto" w:fill="E1DFDD"/>
    </w:rPr>
  </w:style>
  <w:style w:type="character" w:styleId="FollowedHyperlink">
    <w:name w:val="FollowedHyperlink"/>
    <w:basedOn w:val="DefaultParagraphFont"/>
    <w:semiHidden/>
    <w:unhideWhenUsed/>
    <w:rsid w:val="003638D8"/>
    <w:rPr>
      <w:color w:val="800080" w:themeColor="followedHyperlink"/>
      <w:u w:val="single"/>
    </w:rPr>
  </w:style>
  <w:style w:type="character" w:customStyle="1" w:styleId="cf01">
    <w:name w:val="cf01"/>
    <w:basedOn w:val="DefaultParagraphFont"/>
    <w:rsid w:val="00B803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microsoft.com/office/2007/relationships/diagramDrawing" Target="diagrams/drawing1.xml" /><Relationship Id="rId16" Type="http://schemas.openxmlformats.org/officeDocument/2006/relationships/diagramData" Target="diagrams/data1.xml" /><Relationship Id="rId17" Type="http://schemas.openxmlformats.org/officeDocument/2006/relationships/diagramLayout" Target="diagrams/layout1.xml" /><Relationship Id="rId18" Type="http://schemas.openxmlformats.org/officeDocument/2006/relationships/diagramQuickStyle" Target="diagrams/quickStyle1.xml" /><Relationship Id="rId19" Type="http://schemas.openxmlformats.org/officeDocument/2006/relationships/diagramColors" Target="diagrams/colors1.xml" /><Relationship Id="rId2" Type="http://schemas.openxmlformats.org/officeDocument/2006/relationships/settings" Target="settings.xml" /><Relationship Id="rId20" Type="http://schemas.openxmlformats.org/officeDocument/2006/relationships/hyperlink" Target="http://www.ncez.mzcr.cz" TargetMode="External" /><Relationship Id="rId21" Type="http://schemas.openxmlformats.org/officeDocument/2006/relationships/hyperlink" Target="http://www.mzcr.cz" TargetMode="Externa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5.pn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9BEE32-333C-42E3-9A6D-CAEF8854267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A10092A8-F2B6-4DEB-9DFA-E492655A6930}">
      <dgm:prSet phldrT="[Text]" custT="1"/>
      <dgm:spPr/>
      <dgm:t>
        <a:bodyPr/>
        <a:lstStyle/>
        <a:p>
          <a:r>
            <a:rPr lang="cs-CZ" sz="1400">
              <a:latin typeface="Arial" panose="020B0604020202020204" pitchFamily="34" charset="0"/>
              <a:cs typeface="Arial" panose="020B0604020202020204" pitchFamily="34" charset="0"/>
            </a:rPr>
            <a:t>Gestor - Digitální zmocněnec - </a:t>
          </a:r>
          <a:r>
            <a:rPr lang="cs-CZ" sz="1400"/>
            <a:t>vrchní ředitel  pro informační a komunikační technologie</a:t>
          </a:r>
          <a:endParaRPr lang="cs-CZ" sz="1400">
            <a:latin typeface="Arial" panose="020B0604020202020204" pitchFamily="34" charset="0"/>
            <a:cs typeface="Arial" panose="020B0604020202020204" pitchFamily="34" charset="0"/>
          </a:endParaRPr>
        </a:p>
      </dgm:t>
    </dgm:pt>
    <dgm:pt modelId="{6A0EA319-0E8E-478E-906D-985AD0BF6434}" type="parTrans" cxnId="{6BAD517F-BA31-4ED0-8057-3AFE0C98F815}">
      <dgm:prSet/>
      <dgm:spPr/>
      <dgm:t>
        <a:bodyPr/>
        <a:lstStyle/>
        <a:p>
          <a:endParaRPr lang="cs-CZ"/>
        </a:p>
      </dgm:t>
    </dgm:pt>
    <dgm:pt modelId="{0C250C7B-144F-4FEB-B084-459D26A4127C}" type="sibTrans" cxnId="{6BAD517F-BA31-4ED0-8057-3AFE0C98F815}">
      <dgm:prSet/>
      <dgm:spPr/>
      <dgm:t>
        <a:bodyPr/>
        <a:lstStyle/>
        <a:p>
          <a:endParaRPr lang="cs-CZ"/>
        </a:p>
      </dgm:t>
    </dgm:pt>
    <dgm:pt modelId="{023D787D-5C3F-4FDF-A33F-21C99E6F00AB}" type="asst">
      <dgm:prSet phldrT="[Text]" custT="1"/>
      <dgm:spPr/>
      <dgm:t>
        <a:bodyPr/>
        <a:lstStyle/>
        <a:p>
          <a:r>
            <a:rPr lang="cs-CZ" sz="1400">
              <a:latin typeface="Arial" panose="020B0604020202020204" pitchFamily="34" charset="0"/>
              <a:cs typeface="Arial" panose="020B0604020202020204" pitchFamily="34" charset="0"/>
            </a:rPr>
            <a:t>Koordinátor za sekci</a:t>
          </a:r>
        </a:p>
      </dgm:t>
    </dgm:pt>
    <dgm:pt modelId="{B06EB4BA-661C-4384-B426-5B6E0C3034B8}" type="parTrans" cxnId="{BEEB0A26-863F-409D-9570-51732E3274F7}">
      <dgm:prSet/>
      <dgm:spPr/>
      <dgm:t>
        <a:bodyPr/>
        <a:lstStyle/>
        <a:p>
          <a:endParaRPr lang="cs-CZ"/>
        </a:p>
      </dgm:t>
    </dgm:pt>
    <dgm:pt modelId="{EADF1BDC-995A-40E0-9A2A-C351613B917C}" type="sibTrans" cxnId="{BEEB0A26-863F-409D-9570-51732E3274F7}">
      <dgm:prSet/>
      <dgm:spPr/>
      <dgm:t>
        <a:bodyPr/>
        <a:lstStyle/>
        <a:p>
          <a:endParaRPr lang="cs-CZ"/>
        </a:p>
      </dgm:t>
    </dgm:pt>
    <dgm:pt modelId="{B9DB8873-05BD-462A-8E4B-17639D9F12BA}">
      <dgm:prSet phldrT="[Text]" custT="1"/>
      <dgm:spPr/>
      <dgm:t>
        <a:bodyPr/>
        <a:lstStyle/>
        <a:p>
          <a:r>
            <a:rPr lang="cs-CZ" sz="1400">
              <a:latin typeface="Arial" panose="020B0604020202020204" pitchFamily="34" charset="0"/>
              <a:cs typeface="Arial" panose="020B0604020202020204" pitchFamily="34" charset="0"/>
            </a:rPr>
            <a:t>Dílčí cíl 1 - 3: </a:t>
          </a:r>
        </a:p>
        <a:p>
          <a:r>
            <a:rPr lang="cs-CZ" sz="1400">
              <a:latin typeface="Arial" panose="020B0604020202020204" pitchFamily="34" charset="0"/>
              <a:cs typeface="Arial" panose="020B0604020202020204" pitchFamily="34" charset="0"/>
            </a:rPr>
            <a:t>Ředitel odboru Národního centra elektronického zdravotnictví</a:t>
          </a:r>
        </a:p>
      </dgm:t>
    </dgm:pt>
    <dgm:pt modelId="{640AB554-48B0-48AB-B5EB-6732933E6B46}" type="parTrans" cxnId="{42375146-A006-40FE-98F6-491A3B28AE13}">
      <dgm:prSet/>
      <dgm:spPr/>
      <dgm:t>
        <a:bodyPr/>
        <a:lstStyle/>
        <a:p>
          <a:endParaRPr lang="cs-CZ"/>
        </a:p>
      </dgm:t>
    </dgm:pt>
    <dgm:pt modelId="{571AE458-6C73-4185-BE70-780844552DC2}" type="sibTrans" cxnId="{42375146-A006-40FE-98F6-491A3B28AE13}">
      <dgm:prSet/>
      <dgm:spPr/>
      <dgm:t>
        <a:bodyPr/>
        <a:lstStyle/>
        <a:p>
          <a:endParaRPr lang="cs-CZ"/>
        </a:p>
      </dgm:t>
    </dgm:pt>
    <dgm:pt modelId="{8119BFD8-53E3-4568-99FD-98709E66DB4A}">
      <dgm:prSet phldrT="[Text]" custT="1"/>
      <dgm:spPr/>
      <dgm:t>
        <a:bodyPr/>
        <a:lstStyle/>
        <a:p>
          <a:r>
            <a:rPr lang="cs-CZ" sz="1400">
              <a:latin typeface="Arial" panose="020B0604020202020204" pitchFamily="34" charset="0"/>
              <a:cs typeface="Arial" panose="020B0604020202020204" pitchFamily="34" charset="0"/>
            </a:rPr>
            <a:t>Dílčí cíl 4: </a:t>
          </a:r>
        </a:p>
        <a:p>
          <a:r>
            <a:rPr lang="cs-CZ" sz="1400">
              <a:latin typeface="Arial" panose="020B0604020202020204" pitchFamily="34" charset="0"/>
              <a:cs typeface="Arial" panose="020B0604020202020204" pitchFamily="34" charset="0"/>
            </a:rPr>
            <a:t>Ředitel ÚZIS</a:t>
          </a:r>
          <a:endParaRPr lang="cs-CZ" sz="1400"/>
        </a:p>
      </dgm:t>
    </dgm:pt>
    <dgm:pt modelId="{B0FCDD56-5447-4D7C-844F-94833BE802E9}" type="parTrans" cxnId="{5CBC8580-EC9B-4F8B-9620-89F34285232C}">
      <dgm:prSet/>
      <dgm:spPr/>
      <dgm:t>
        <a:bodyPr/>
        <a:lstStyle/>
        <a:p>
          <a:endParaRPr lang="cs-CZ"/>
        </a:p>
      </dgm:t>
    </dgm:pt>
    <dgm:pt modelId="{527A5A17-4FD3-4964-AC4C-A41E823532DA}" type="sibTrans" cxnId="{5CBC8580-EC9B-4F8B-9620-89F34285232C}">
      <dgm:prSet/>
      <dgm:spPr/>
      <dgm:t>
        <a:bodyPr/>
        <a:lstStyle/>
        <a:p>
          <a:endParaRPr lang="cs-CZ"/>
        </a:p>
      </dgm:t>
    </dgm:pt>
    <dgm:pt modelId="{8E9483A2-3592-424C-8C29-9A9AFD55BD50}">
      <dgm:prSet phldrT="[Text]" custT="1"/>
      <dgm:spPr/>
      <dgm:t>
        <a:bodyPr/>
        <a:lstStyle/>
        <a:p>
          <a:r>
            <a:rPr lang="cs-CZ" sz="1400">
              <a:latin typeface="Arial" panose="020B0604020202020204" pitchFamily="34" charset="0"/>
              <a:cs typeface="Arial" panose="020B0604020202020204" pitchFamily="34" charset="0"/>
            </a:rPr>
            <a:t>Dílčí cíl 5 - 14: </a:t>
          </a:r>
        </a:p>
        <a:p>
          <a:r>
            <a:rPr lang="cs-CZ" sz="1400">
              <a:latin typeface="Arial" panose="020B0604020202020204" pitchFamily="34" charset="0"/>
              <a:cs typeface="Arial" panose="020B0604020202020204" pitchFamily="34" charset="0"/>
            </a:rPr>
            <a:t>Ředitel odboru Národního centra elektronického zdravotnictví</a:t>
          </a:r>
          <a:endParaRPr lang="cs-CZ" sz="1400"/>
        </a:p>
      </dgm:t>
    </dgm:pt>
    <dgm:pt modelId="{C1B5E8DA-8C38-4B51-97D7-2D76A0930267}" type="parTrans" cxnId="{7C9AA76D-F60D-44A3-8264-63C5D580A4BD}">
      <dgm:prSet/>
      <dgm:spPr/>
      <dgm:t>
        <a:bodyPr/>
        <a:lstStyle/>
        <a:p>
          <a:endParaRPr lang="cs-CZ"/>
        </a:p>
      </dgm:t>
    </dgm:pt>
    <dgm:pt modelId="{D40C45DB-E922-410B-B41D-E78507FF64F0}" type="sibTrans" cxnId="{7C9AA76D-F60D-44A3-8264-63C5D580A4BD}">
      <dgm:prSet/>
      <dgm:spPr/>
      <dgm:t>
        <a:bodyPr/>
        <a:lstStyle/>
        <a:p>
          <a:endParaRPr lang="cs-CZ"/>
        </a:p>
      </dgm:t>
    </dgm:pt>
    <dgm:pt modelId="{3989E891-BAA8-4B34-85FD-5B16B270061C}" type="pres">
      <dgm:prSet presAssocID="{119BEE32-333C-42E3-9A6D-CAEF88542679}" presName="hierChild1" presStyleCnt="0">
        <dgm:presLayoutVars>
          <dgm:orgChart val="1"/>
          <dgm:chPref val="1"/>
          <dgm:dir val="norm"/>
          <dgm:animOne val="branch"/>
          <dgm:animLvl val="lvl"/>
          <dgm:resizeHandles val="rel"/>
        </dgm:presLayoutVars>
      </dgm:prSet>
      <dgm:spPr/>
    </dgm:pt>
    <dgm:pt modelId="{72339E2D-72ED-4E37-ACEC-9F729BF54F85}" type="pres">
      <dgm:prSet presAssocID="{A10092A8-F2B6-4DEB-9DFA-E492655A6930}" presName="hierRoot1" presStyleCnt="0">
        <dgm:presLayoutVars>
          <dgm:hierBranch val="init"/>
        </dgm:presLayoutVars>
      </dgm:prSet>
      <dgm:spPr/>
    </dgm:pt>
    <dgm:pt modelId="{F307F062-35A2-42ED-AE6E-7A2EF05898C2}" type="pres">
      <dgm:prSet presAssocID="{A10092A8-F2B6-4DEB-9DFA-E492655A6930}" presName="rootComposite1" presStyleCnt="0"/>
      <dgm:spPr/>
    </dgm:pt>
    <dgm:pt modelId="{C1C750E9-000D-4D91-9D34-B5A5D06A02E7}" type="pres">
      <dgm:prSet presAssocID="{A10092A8-F2B6-4DEB-9DFA-E492655A6930}" presName="rootText1" presStyleLbl="node0" presStyleIdx="0" presStyleCnt="1" custScaleX="138219" custScaleY="138410">
        <dgm:presLayoutVars>
          <dgm:chPref val="3"/>
        </dgm:presLayoutVars>
      </dgm:prSet>
      <dgm:spPr/>
    </dgm:pt>
    <dgm:pt modelId="{F2DCC881-E0B6-4926-8C31-035BDD4703FD}" type="pres">
      <dgm:prSet presAssocID="{A10092A8-F2B6-4DEB-9DFA-E492655A6930}" presName="rootConnector1" presStyleLbl="node1" presStyleIdx="0" presStyleCnt="0"/>
      <dgm:spPr/>
    </dgm:pt>
    <dgm:pt modelId="{D9A60642-84D3-4A3D-82FC-08D5E0C40F40}" type="pres">
      <dgm:prSet presAssocID="{A10092A8-F2B6-4DEB-9DFA-E492655A6930}" presName="hierChild2" presStyleCnt="0"/>
      <dgm:spPr/>
    </dgm:pt>
    <dgm:pt modelId="{2B503FA6-97B2-4F1A-88E3-56265AC7957D}" type="pres">
      <dgm:prSet presAssocID="{640AB554-48B0-48AB-B5EB-6732933E6B46}" presName="Name37" presStyleLbl="parChTrans1D2" presStyleIdx="0" presStyleCnt="4"/>
      <dgm:spPr/>
    </dgm:pt>
    <dgm:pt modelId="{5C44E630-47E1-4A8D-AE7B-750DF774152D}" type="pres">
      <dgm:prSet presAssocID="{B9DB8873-05BD-462A-8E4B-17639D9F12BA}" presName="hierRoot2" presStyleCnt="0">
        <dgm:presLayoutVars>
          <dgm:hierBranch val="init"/>
        </dgm:presLayoutVars>
      </dgm:prSet>
      <dgm:spPr/>
    </dgm:pt>
    <dgm:pt modelId="{23FFF641-ADE7-4DF5-982E-060E1543A7D8}" type="pres">
      <dgm:prSet presAssocID="{B9DB8873-05BD-462A-8E4B-17639D9F12BA}" presName="rootComposite" presStyleCnt="0"/>
      <dgm:spPr/>
    </dgm:pt>
    <dgm:pt modelId="{AE272353-2723-497C-8DD6-9BA4779B2C24}" type="pres">
      <dgm:prSet presAssocID="{B9DB8873-05BD-462A-8E4B-17639D9F12BA}" presName="rootText" presStyleLbl="node2" presStyleIdx="0" presStyleCnt="3" custScaleX="113517" custScaleY="134463">
        <dgm:presLayoutVars>
          <dgm:chPref val="3"/>
        </dgm:presLayoutVars>
      </dgm:prSet>
      <dgm:spPr/>
    </dgm:pt>
    <dgm:pt modelId="{0104ABD8-BBBC-4678-8954-D80C9F384BE6}" type="pres">
      <dgm:prSet presAssocID="{B9DB8873-05BD-462A-8E4B-17639D9F12BA}" presName="rootConnector" presStyleLbl="node2" presStyleIdx="0" presStyleCnt="3"/>
      <dgm:spPr/>
    </dgm:pt>
    <dgm:pt modelId="{7B8B2DC4-5478-4A8B-AE15-898E28391E45}" type="pres">
      <dgm:prSet presAssocID="{B9DB8873-05BD-462A-8E4B-17639D9F12BA}" presName="hierChild4" presStyleCnt="0"/>
      <dgm:spPr/>
    </dgm:pt>
    <dgm:pt modelId="{CDEA7E2F-F66F-4C5D-8965-BDC917FFF7BD}" type="pres">
      <dgm:prSet presAssocID="{B9DB8873-05BD-462A-8E4B-17639D9F12BA}" presName="hierChild5" presStyleCnt="0"/>
      <dgm:spPr/>
    </dgm:pt>
    <dgm:pt modelId="{8D3C75F5-6019-40FF-9534-0DC381F028AC}" type="pres">
      <dgm:prSet presAssocID="{B0FCDD56-5447-4D7C-844F-94833BE802E9}" presName="Name37" presStyleLbl="parChTrans1D2" presStyleIdx="1" presStyleCnt="4"/>
      <dgm:spPr/>
    </dgm:pt>
    <dgm:pt modelId="{8C4D1EC2-E1D1-41A4-B799-596D24C3CD64}" type="pres">
      <dgm:prSet presAssocID="{8119BFD8-53E3-4568-99FD-98709E66DB4A}" presName="hierRoot2" presStyleCnt="0">
        <dgm:presLayoutVars>
          <dgm:hierBranch val="init"/>
        </dgm:presLayoutVars>
      </dgm:prSet>
      <dgm:spPr/>
    </dgm:pt>
    <dgm:pt modelId="{9D3310DD-B0A5-4CF7-967B-DE752D6BF351}" type="pres">
      <dgm:prSet presAssocID="{8119BFD8-53E3-4568-99FD-98709E66DB4A}" presName="rootComposite" presStyleCnt="0"/>
      <dgm:spPr/>
    </dgm:pt>
    <dgm:pt modelId="{01B9B6D3-64E9-4A1C-8EAA-38D172CB1BCD}" type="pres">
      <dgm:prSet presAssocID="{8119BFD8-53E3-4568-99FD-98709E66DB4A}" presName="rootText" presStyleLbl="node2" presStyleIdx="1" presStyleCnt="3" custScaleX="116179" custScaleY="134540">
        <dgm:presLayoutVars>
          <dgm:chPref val="3"/>
        </dgm:presLayoutVars>
      </dgm:prSet>
      <dgm:spPr/>
    </dgm:pt>
    <dgm:pt modelId="{148494B5-7DCF-4678-9B8B-47DED092E3D0}" type="pres">
      <dgm:prSet presAssocID="{8119BFD8-53E3-4568-99FD-98709E66DB4A}" presName="rootConnector" presStyleLbl="node2" presStyleIdx="1" presStyleCnt="3"/>
      <dgm:spPr/>
    </dgm:pt>
    <dgm:pt modelId="{E46F2F24-9B9A-4560-9EDA-7D73AF44BC87}" type="pres">
      <dgm:prSet presAssocID="{8119BFD8-53E3-4568-99FD-98709E66DB4A}" presName="hierChild4" presStyleCnt="0"/>
      <dgm:spPr/>
    </dgm:pt>
    <dgm:pt modelId="{2E7FF069-752B-4CC2-A5E5-E641AED47610}" type="pres">
      <dgm:prSet presAssocID="{8119BFD8-53E3-4568-99FD-98709E66DB4A}" presName="hierChild5" presStyleCnt="0"/>
      <dgm:spPr/>
    </dgm:pt>
    <dgm:pt modelId="{2CF697F6-AAEE-41E6-BC34-0205F9EB3BB0}" type="pres">
      <dgm:prSet presAssocID="{C1B5E8DA-8C38-4B51-97D7-2D76A0930267}" presName="Name37" presStyleLbl="parChTrans1D2" presStyleIdx="2" presStyleCnt="4"/>
      <dgm:spPr/>
    </dgm:pt>
    <dgm:pt modelId="{CA5DE59E-0133-4EF0-81D3-82C512A31BB6}" type="pres">
      <dgm:prSet presAssocID="{8E9483A2-3592-424C-8C29-9A9AFD55BD50}" presName="hierRoot2" presStyleCnt="0">
        <dgm:presLayoutVars>
          <dgm:hierBranch val="init"/>
        </dgm:presLayoutVars>
      </dgm:prSet>
      <dgm:spPr/>
    </dgm:pt>
    <dgm:pt modelId="{61DF73C3-9A51-426B-BC80-4656C0F1FB29}" type="pres">
      <dgm:prSet presAssocID="{8E9483A2-3592-424C-8C29-9A9AFD55BD50}" presName="rootComposite" presStyleCnt="0"/>
      <dgm:spPr/>
    </dgm:pt>
    <dgm:pt modelId="{DBB1A80F-0A95-4F04-A324-7BDDE7854528}" type="pres">
      <dgm:prSet presAssocID="{8E9483A2-3592-424C-8C29-9A9AFD55BD50}" presName="rootText" presStyleLbl="node2" presStyleIdx="2" presStyleCnt="3" custScaleX="115707" custScaleY="129542">
        <dgm:presLayoutVars>
          <dgm:chPref val="3"/>
        </dgm:presLayoutVars>
      </dgm:prSet>
      <dgm:spPr/>
    </dgm:pt>
    <dgm:pt modelId="{CF33C3D1-1912-4599-BC9D-8E8F9FAF0B5E}" type="pres">
      <dgm:prSet presAssocID="{8E9483A2-3592-424C-8C29-9A9AFD55BD50}" presName="rootConnector" presStyleLbl="node2" presStyleIdx="2" presStyleCnt="3"/>
      <dgm:spPr/>
    </dgm:pt>
    <dgm:pt modelId="{DF38DC20-D945-45A0-B93D-C37ECA8AFCC0}" type="pres">
      <dgm:prSet presAssocID="{8E9483A2-3592-424C-8C29-9A9AFD55BD50}" presName="hierChild4" presStyleCnt="0"/>
      <dgm:spPr/>
    </dgm:pt>
    <dgm:pt modelId="{4DC714BC-9EA9-4CE7-B003-81077FAE61A7}" type="pres">
      <dgm:prSet presAssocID="{8E9483A2-3592-424C-8C29-9A9AFD55BD50}" presName="hierChild5" presStyleCnt="0"/>
      <dgm:spPr/>
    </dgm:pt>
    <dgm:pt modelId="{7F75B6CD-FFB3-42C5-8422-19DFD479CB5C}" type="pres">
      <dgm:prSet presAssocID="{A10092A8-F2B6-4DEB-9DFA-E492655A6930}" presName="hierChild3" presStyleCnt="0"/>
      <dgm:spPr/>
    </dgm:pt>
    <dgm:pt modelId="{4CB57ADB-6600-49D6-8FB5-74BA3C9130BB}" type="pres">
      <dgm:prSet presAssocID="{B06EB4BA-661C-4384-B426-5B6E0C3034B8}" presName="Name111" presStyleLbl="parChTrans1D2" presStyleIdx="3" presStyleCnt="4"/>
      <dgm:spPr/>
    </dgm:pt>
    <dgm:pt modelId="{61903204-E574-4242-8D36-22242BD431D5}" type="pres">
      <dgm:prSet presAssocID="{023D787D-5C3F-4FDF-A33F-21C99E6F00AB}" presName="hierRoot3" presStyleCnt="0">
        <dgm:presLayoutVars>
          <dgm:hierBranch val="init"/>
        </dgm:presLayoutVars>
      </dgm:prSet>
      <dgm:spPr/>
    </dgm:pt>
    <dgm:pt modelId="{D565ABE9-BF44-4CE6-AD3B-FD56225EF55E}" type="pres">
      <dgm:prSet presAssocID="{023D787D-5C3F-4FDF-A33F-21C99E6F00AB}" presName="rootComposite3" presStyleCnt="0"/>
      <dgm:spPr/>
    </dgm:pt>
    <dgm:pt modelId="{91973B0C-C5B8-4D90-94D3-2F57EDB22A2B}" type="pres">
      <dgm:prSet presAssocID="{023D787D-5C3F-4FDF-A33F-21C99E6F00AB}" presName="rootText3" presStyleLbl="asst1" presStyleIdx="0" presStyleCnt="1" custScaleX="144697">
        <dgm:presLayoutVars>
          <dgm:chPref val="3"/>
        </dgm:presLayoutVars>
      </dgm:prSet>
      <dgm:spPr/>
    </dgm:pt>
    <dgm:pt modelId="{686EBD36-EAB7-44EB-87B0-5D29047066E4}" type="pres">
      <dgm:prSet presAssocID="{023D787D-5C3F-4FDF-A33F-21C99E6F00AB}" presName="rootConnector3" presStyleLbl="asst1" presStyleIdx="0" presStyleCnt="1"/>
      <dgm:spPr/>
    </dgm:pt>
    <dgm:pt modelId="{97FCAA18-3C06-4AFF-B049-813D3B06A1A2}" type="pres">
      <dgm:prSet presAssocID="{023D787D-5C3F-4FDF-A33F-21C99E6F00AB}" presName="hierChild6" presStyleCnt="0"/>
      <dgm:spPr/>
    </dgm:pt>
    <dgm:pt modelId="{311EC2BC-7247-4B00-90C4-7DD53AC62E48}" type="pres">
      <dgm:prSet presAssocID="{023D787D-5C3F-4FDF-A33F-21C99E6F00AB}" presName="hierChild7" presStyleCnt="0"/>
      <dgm:spPr/>
    </dgm:pt>
  </dgm:ptLst>
  <dgm:cxnLst>
    <dgm:cxn modelId="{29D2F203-6616-4B72-8E5F-FD9F268F9F2F}" type="presOf" srcId="{A10092A8-F2B6-4DEB-9DFA-E492655A6930}" destId="{F2DCC881-E0B6-4926-8C31-035BDD4703FD}" srcOrd="1" destOrd="0" presId="urn:microsoft.com/office/officeart/2005/8/layout/orgChart1"/>
    <dgm:cxn modelId="{7623BB0E-AE53-4C0A-AD38-5C2CF480F27B}" type="presOf" srcId="{023D787D-5C3F-4FDF-A33F-21C99E6F00AB}" destId="{91973B0C-C5B8-4D90-94D3-2F57EDB22A2B}" srcOrd="0" destOrd="0" presId="urn:microsoft.com/office/officeart/2005/8/layout/orgChart1"/>
    <dgm:cxn modelId="{7B210A10-E3B5-43B9-A020-9898655FECC5}" type="presOf" srcId="{8119BFD8-53E3-4568-99FD-98709E66DB4A}" destId="{01B9B6D3-64E9-4A1C-8EAA-38D172CB1BCD}" srcOrd="0" destOrd="0" presId="urn:microsoft.com/office/officeart/2005/8/layout/orgChart1"/>
    <dgm:cxn modelId="{E2C19913-87C8-4E30-853D-82A1176A0FB9}" type="presOf" srcId="{8E9483A2-3592-424C-8C29-9A9AFD55BD50}" destId="{DBB1A80F-0A95-4F04-A324-7BDDE7854528}" srcOrd="0" destOrd="0" presId="urn:microsoft.com/office/officeart/2005/8/layout/orgChart1"/>
    <dgm:cxn modelId="{BEEB0A26-863F-409D-9570-51732E3274F7}" srcId="{A10092A8-F2B6-4DEB-9DFA-E492655A6930}" destId="{023D787D-5C3F-4FDF-A33F-21C99E6F00AB}" srcOrd="0" destOrd="0" parTransId="{B06EB4BA-661C-4384-B426-5B6E0C3034B8}" sibTransId="{EADF1BDC-995A-40E0-9A2A-C351613B917C}"/>
    <dgm:cxn modelId="{A7296735-C1BB-4F18-8287-60E23338CD76}" type="presOf" srcId="{B06EB4BA-661C-4384-B426-5B6E0C3034B8}" destId="{4CB57ADB-6600-49D6-8FB5-74BA3C9130BB}" srcOrd="0" destOrd="0" presId="urn:microsoft.com/office/officeart/2005/8/layout/orgChart1"/>
    <dgm:cxn modelId="{4A996841-0E74-481F-89A3-9A32C009B996}" type="presOf" srcId="{B9DB8873-05BD-462A-8E4B-17639D9F12BA}" destId="{AE272353-2723-497C-8DD6-9BA4779B2C24}" srcOrd="0" destOrd="0" presId="urn:microsoft.com/office/officeart/2005/8/layout/orgChart1"/>
    <dgm:cxn modelId="{42375146-A006-40FE-98F6-491A3B28AE13}" srcId="{A10092A8-F2B6-4DEB-9DFA-E492655A6930}" destId="{B9DB8873-05BD-462A-8E4B-17639D9F12BA}" srcOrd="1" destOrd="0" parTransId="{640AB554-48B0-48AB-B5EB-6732933E6B46}" sibTransId="{571AE458-6C73-4185-BE70-780844552DC2}"/>
    <dgm:cxn modelId="{FB19586A-BF3C-48DD-877E-65425C187CB6}" type="presOf" srcId="{8E9483A2-3592-424C-8C29-9A9AFD55BD50}" destId="{CF33C3D1-1912-4599-BC9D-8E8F9FAF0B5E}" srcOrd="1" destOrd="0" presId="urn:microsoft.com/office/officeart/2005/8/layout/orgChart1"/>
    <dgm:cxn modelId="{7C9AA76D-F60D-44A3-8264-63C5D580A4BD}" srcId="{A10092A8-F2B6-4DEB-9DFA-E492655A6930}" destId="{8E9483A2-3592-424C-8C29-9A9AFD55BD50}" srcOrd="3" destOrd="0" parTransId="{C1B5E8DA-8C38-4B51-97D7-2D76A0930267}" sibTransId="{D40C45DB-E922-410B-B41D-E78507FF64F0}"/>
    <dgm:cxn modelId="{6028D74D-384A-408D-99A6-8EBFDD6FEE61}" type="presOf" srcId="{C1B5E8DA-8C38-4B51-97D7-2D76A0930267}" destId="{2CF697F6-AAEE-41E6-BC34-0205F9EB3BB0}" srcOrd="0" destOrd="0" presId="urn:microsoft.com/office/officeart/2005/8/layout/orgChart1"/>
    <dgm:cxn modelId="{4D2E4553-36BE-4BBC-B433-2D48DAA87AED}" type="presOf" srcId="{8119BFD8-53E3-4568-99FD-98709E66DB4A}" destId="{148494B5-7DCF-4678-9B8B-47DED092E3D0}" srcOrd="1" destOrd="0" presId="urn:microsoft.com/office/officeart/2005/8/layout/orgChart1"/>
    <dgm:cxn modelId="{6BAD517F-BA31-4ED0-8057-3AFE0C98F815}" srcId="{119BEE32-333C-42E3-9A6D-CAEF88542679}" destId="{A10092A8-F2B6-4DEB-9DFA-E492655A6930}" srcOrd="0" destOrd="0" parTransId="{6A0EA319-0E8E-478E-906D-985AD0BF6434}" sibTransId="{0C250C7B-144F-4FEB-B084-459D26A4127C}"/>
    <dgm:cxn modelId="{5CBC8580-EC9B-4F8B-9620-89F34285232C}" srcId="{A10092A8-F2B6-4DEB-9DFA-E492655A6930}" destId="{8119BFD8-53E3-4568-99FD-98709E66DB4A}" srcOrd="2" destOrd="0" parTransId="{B0FCDD56-5447-4D7C-844F-94833BE802E9}" sibTransId="{527A5A17-4FD3-4964-AC4C-A41E823532DA}"/>
    <dgm:cxn modelId="{30ADD382-15C9-44CF-A31A-A175F1D31324}" type="presOf" srcId="{A10092A8-F2B6-4DEB-9DFA-E492655A6930}" destId="{C1C750E9-000D-4D91-9D34-B5A5D06A02E7}" srcOrd="0" destOrd="0" presId="urn:microsoft.com/office/officeart/2005/8/layout/orgChart1"/>
    <dgm:cxn modelId="{58D8C99F-B00C-4806-85CF-D545D54BF641}" type="presOf" srcId="{119BEE32-333C-42E3-9A6D-CAEF88542679}" destId="{3989E891-BAA8-4B34-85FD-5B16B270061C}" srcOrd="0" destOrd="0" presId="urn:microsoft.com/office/officeart/2005/8/layout/orgChart1"/>
    <dgm:cxn modelId="{351A01BC-34F3-4B11-9A82-7F9B9996C4AC}" type="presOf" srcId="{640AB554-48B0-48AB-B5EB-6732933E6B46}" destId="{2B503FA6-97B2-4F1A-88E3-56265AC7957D}" srcOrd="0" destOrd="0" presId="urn:microsoft.com/office/officeart/2005/8/layout/orgChart1"/>
    <dgm:cxn modelId="{1D6632BE-3C0A-4770-9F54-E159428D3B71}" type="presOf" srcId="{B9DB8873-05BD-462A-8E4B-17639D9F12BA}" destId="{0104ABD8-BBBC-4678-8954-D80C9F384BE6}" srcOrd="1" destOrd="0" presId="urn:microsoft.com/office/officeart/2005/8/layout/orgChart1"/>
    <dgm:cxn modelId="{EC0F9FBE-F084-4161-BD57-D2FA85A2EEF9}" type="presOf" srcId="{B0FCDD56-5447-4D7C-844F-94833BE802E9}" destId="{8D3C75F5-6019-40FF-9534-0DC381F028AC}" srcOrd="0" destOrd="0" presId="urn:microsoft.com/office/officeart/2005/8/layout/orgChart1"/>
    <dgm:cxn modelId="{088BE5D8-F549-4857-9EFE-0CCEE127EE1F}" type="presOf" srcId="{023D787D-5C3F-4FDF-A33F-21C99E6F00AB}" destId="{686EBD36-EAB7-44EB-87B0-5D29047066E4}" srcOrd="1" destOrd="0" presId="urn:microsoft.com/office/officeart/2005/8/layout/orgChart1"/>
    <dgm:cxn modelId="{60AF994A-CC90-4FC7-A941-BF5E9BC2447E}" type="presParOf" srcId="{3989E891-BAA8-4B34-85FD-5B16B270061C}" destId="{72339E2D-72ED-4E37-ACEC-9F729BF54F85}" srcOrd="0" destOrd="0" presId="urn:microsoft.com/office/officeart/2005/8/layout/orgChart1"/>
    <dgm:cxn modelId="{5E14417E-93AD-4C45-AE5D-749591964CBA}" type="presParOf" srcId="{72339E2D-72ED-4E37-ACEC-9F729BF54F85}" destId="{F307F062-35A2-42ED-AE6E-7A2EF05898C2}" srcOrd="0" destOrd="0" presId="urn:microsoft.com/office/officeart/2005/8/layout/orgChart1"/>
    <dgm:cxn modelId="{7E95A893-82B4-4253-BE01-6C2280D8E2F4}" type="presParOf" srcId="{F307F062-35A2-42ED-AE6E-7A2EF05898C2}" destId="{C1C750E9-000D-4D91-9D34-B5A5D06A02E7}" srcOrd="0" destOrd="0" presId="urn:microsoft.com/office/officeart/2005/8/layout/orgChart1"/>
    <dgm:cxn modelId="{FD6A723C-2B81-400A-B23E-176C9C6B2561}" type="presParOf" srcId="{F307F062-35A2-42ED-AE6E-7A2EF05898C2}" destId="{F2DCC881-E0B6-4926-8C31-035BDD4703FD}" srcOrd="1" destOrd="0" presId="urn:microsoft.com/office/officeart/2005/8/layout/orgChart1"/>
    <dgm:cxn modelId="{FA54093A-25DD-482D-88DC-2C523E043764}" type="presParOf" srcId="{72339E2D-72ED-4E37-ACEC-9F729BF54F85}" destId="{D9A60642-84D3-4A3D-82FC-08D5E0C40F40}" srcOrd="1" destOrd="0" presId="urn:microsoft.com/office/officeart/2005/8/layout/orgChart1"/>
    <dgm:cxn modelId="{6EA694F8-389B-40FF-B124-9EFE0AA93F3D}" type="presParOf" srcId="{D9A60642-84D3-4A3D-82FC-08D5E0C40F40}" destId="{2B503FA6-97B2-4F1A-88E3-56265AC7957D}" srcOrd="0" destOrd="0" presId="urn:microsoft.com/office/officeart/2005/8/layout/orgChart1"/>
    <dgm:cxn modelId="{3D03B023-E13F-47E1-AED7-D13D65D4ED04}" type="presParOf" srcId="{D9A60642-84D3-4A3D-82FC-08D5E0C40F40}" destId="{5C44E630-47E1-4A8D-AE7B-750DF774152D}" srcOrd="1" destOrd="0" presId="urn:microsoft.com/office/officeart/2005/8/layout/orgChart1"/>
    <dgm:cxn modelId="{39B26813-7B34-45EB-A53C-1CE8D69228F1}" type="presParOf" srcId="{5C44E630-47E1-4A8D-AE7B-750DF774152D}" destId="{23FFF641-ADE7-4DF5-982E-060E1543A7D8}" srcOrd="0" destOrd="0" presId="urn:microsoft.com/office/officeart/2005/8/layout/orgChart1"/>
    <dgm:cxn modelId="{1A397B21-41A6-4BA3-BCB6-422739CDE240}" type="presParOf" srcId="{23FFF641-ADE7-4DF5-982E-060E1543A7D8}" destId="{AE272353-2723-497C-8DD6-9BA4779B2C24}" srcOrd="0" destOrd="0" presId="urn:microsoft.com/office/officeart/2005/8/layout/orgChart1"/>
    <dgm:cxn modelId="{1157FCA2-8946-44F2-8CAB-DC0198FDFCBE}" type="presParOf" srcId="{23FFF641-ADE7-4DF5-982E-060E1543A7D8}" destId="{0104ABD8-BBBC-4678-8954-D80C9F384BE6}" srcOrd="1" destOrd="0" presId="urn:microsoft.com/office/officeart/2005/8/layout/orgChart1"/>
    <dgm:cxn modelId="{B1E89DAC-BD8A-4973-936C-601704FFD504}" type="presParOf" srcId="{5C44E630-47E1-4A8D-AE7B-750DF774152D}" destId="{7B8B2DC4-5478-4A8B-AE15-898E28391E45}" srcOrd="1" destOrd="0" presId="urn:microsoft.com/office/officeart/2005/8/layout/orgChart1"/>
    <dgm:cxn modelId="{262A51EC-AE23-4CE1-951C-521DAE4B447B}" type="presParOf" srcId="{5C44E630-47E1-4A8D-AE7B-750DF774152D}" destId="{CDEA7E2F-F66F-4C5D-8965-BDC917FFF7BD}" srcOrd="2" destOrd="0" presId="urn:microsoft.com/office/officeart/2005/8/layout/orgChart1"/>
    <dgm:cxn modelId="{C850F668-B2D7-4171-9E2E-6632C929A100}" type="presParOf" srcId="{D9A60642-84D3-4A3D-82FC-08D5E0C40F40}" destId="{8D3C75F5-6019-40FF-9534-0DC381F028AC}" srcOrd="2" destOrd="0" presId="urn:microsoft.com/office/officeart/2005/8/layout/orgChart1"/>
    <dgm:cxn modelId="{FCDC7144-93E7-44D9-9BB0-39798AD37FEE}" type="presParOf" srcId="{D9A60642-84D3-4A3D-82FC-08D5E0C40F40}" destId="{8C4D1EC2-E1D1-41A4-B799-596D24C3CD64}" srcOrd="3" destOrd="0" presId="urn:microsoft.com/office/officeart/2005/8/layout/orgChart1"/>
    <dgm:cxn modelId="{76E57FD8-1AF5-42D0-9BB1-BBB03B52A22E}" type="presParOf" srcId="{8C4D1EC2-E1D1-41A4-B799-596D24C3CD64}" destId="{9D3310DD-B0A5-4CF7-967B-DE752D6BF351}" srcOrd="0" destOrd="0" presId="urn:microsoft.com/office/officeart/2005/8/layout/orgChart1"/>
    <dgm:cxn modelId="{1D5AF041-45FB-4326-8251-C413DB627DC3}" type="presParOf" srcId="{9D3310DD-B0A5-4CF7-967B-DE752D6BF351}" destId="{01B9B6D3-64E9-4A1C-8EAA-38D172CB1BCD}" srcOrd="0" destOrd="0" presId="urn:microsoft.com/office/officeart/2005/8/layout/orgChart1"/>
    <dgm:cxn modelId="{B9EB32B3-DD62-4471-9E95-F51D59106CEA}" type="presParOf" srcId="{9D3310DD-B0A5-4CF7-967B-DE752D6BF351}" destId="{148494B5-7DCF-4678-9B8B-47DED092E3D0}" srcOrd="1" destOrd="0" presId="urn:microsoft.com/office/officeart/2005/8/layout/orgChart1"/>
    <dgm:cxn modelId="{F0B262B6-E14A-45F7-ADC2-8B0D20908648}" type="presParOf" srcId="{8C4D1EC2-E1D1-41A4-B799-596D24C3CD64}" destId="{E46F2F24-9B9A-4560-9EDA-7D73AF44BC87}" srcOrd="1" destOrd="0" presId="urn:microsoft.com/office/officeart/2005/8/layout/orgChart1"/>
    <dgm:cxn modelId="{1D1DBDB9-6171-42C2-A5A9-506A5AC532E0}" type="presParOf" srcId="{8C4D1EC2-E1D1-41A4-B799-596D24C3CD64}" destId="{2E7FF069-752B-4CC2-A5E5-E641AED47610}" srcOrd="2" destOrd="0" presId="urn:microsoft.com/office/officeart/2005/8/layout/orgChart1"/>
    <dgm:cxn modelId="{99673514-92AB-48D0-B24C-5067FCC4F657}" type="presParOf" srcId="{D9A60642-84D3-4A3D-82FC-08D5E0C40F40}" destId="{2CF697F6-AAEE-41E6-BC34-0205F9EB3BB0}" srcOrd="4" destOrd="0" presId="urn:microsoft.com/office/officeart/2005/8/layout/orgChart1"/>
    <dgm:cxn modelId="{5EBA54A5-B144-4A37-86AD-1CBF3ACD9A6A}" type="presParOf" srcId="{D9A60642-84D3-4A3D-82FC-08D5E0C40F40}" destId="{CA5DE59E-0133-4EF0-81D3-82C512A31BB6}" srcOrd="5" destOrd="0" presId="urn:microsoft.com/office/officeart/2005/8/layout/orgChart1"/>
    <dgm:cxn modelId="{8273EEA6-AB01-40C9-BC70-302C0BC80432}" type="presParOf" srcId="{CA5DE59E-0133-4EF0-81D3-82C512A31BB6}" destId="{61DF73C3-9A51-426B-BC80-4656C0F1FB29}" srcOrd="0" destOrd="0" presId="urn:microsoft.com/office/officeart/2005/8/layout/orgChart1"/>
    <dgm:cxn modelId="{32A4F333-1950-4F06-ABFA-E752C1C9D2E1}" type="presParOf" srcId="{61DF73C3-9A51-426B-BC80-4656C0F1FB29}" destId="{DBB1A80F-0A95-4F04-A324-7BDDE7854528}" srcOrd="0" destOrd="0" presId="urn:microsoft.com/office/officeart/2005/8/layout/orgChart1"/>
    <dgm:cxn modelId="{6110AD9B-58F7-4E80-8ECB-240A86735F30}" type="presParOf" srcId="{61DF73C3-9A51-426B-BC80-4656C0F1FB29}" destId="{CF33C3D1-1912-4599-BC9D-8E8F9FAF0B5E}" srcOrd="1" destOrd="0" presId="urn:microsoft.com/office/officeart/2005/8/layout/orgChart1"/>
    <dgm:cxn modelId="{0C9B46B9-C554-40F3-B50B-C06DF09255F0}" type="presParOf" srcId="{CA5DE59E-0133-4EF0-81D3-82C512A31BB6}" destId="{DF38DC20-D945-45A0-B93D-C37ECA8AFCC0}" srcOrd="1" destOrd="0" presId="urn:microsoft.com/office/officeart/2005/8/layout/orgChart1"/>
    <dgm:cxn modelId="{15CB5CB0-819C-484B-8DB4-B852FF19D255}" type="presParOf" srcId="{CA5DE59E-0133-4EF0-81D3-82C512A31BB6}" destId="{4DC714BC-9EA9-4CE7-B003-81077FAE61A7}" srcOrd="2" destOrd="0" presId="urn:microsoft.com/office/officeart/2005/8/layout/orgChart1"/>
    <dgm:cxn modelId="{6EA6353F-7326-4247-BA2F-9BB1EA6D06D8}" type="presParOf" srcId="{72339E2D-72ED-4E37-ACEC-9F729BF54F85}" destId="{7F75B6CD-FFB3-42C5-8422-19DFD479CB5C}" srcOrd="2" destOrd="0" presId="urn:microsoft.com/office/officeart/2005/8/layout/orgChart1"/>
    <dgm:cxn modelId="{CC6953AF-8C10-4796-BDFF-55D0820E61A8}" type="presParOf" srcId="{7F75B6CD-FFB3-42C5-8422-19DFD479CB5C}" destId="{4CB57ADB-6600-49D6-8FB5-74BA3C9130BB}" srcOrd="0" destOrd="0" presId="urn:microsoft.com/office/officeart/2005/8/layout/orgChart1"/>
    <dgm:cxn modelId="{C0771F09-7820-4EAA-B7A7-01703C904482}" type="presParOf" srcId="{7F75B6CD-FFB3-42C5-8422-19DFD479CB5C}" destId="{61903204-E574-4242-8D36-22242BD431D5}" srcOrd="1" destOrd="0" presId="urn:microsoft.com/office/officeart/2005/8/layout/orgChart1"/>
    <dgm:cxn modelId="{1BCBC15A-658D-428D-A75D-98946E966409}" type="presParOf" srcId="{61903204-E574-4242-8D36-22242BD431D5}" destId="{D565ABE9-BF44-4CE6-AD3B-FD56225EF55E}" srcOrd="0" destOrd="0" presId="urn:microsoft.com/office/officeart/2005/8/layout/orgChart1"/>
    <dgm:cxn modelId="{C5507448-912C-4B60-835B-206BDC7A1A7A}" type="presParOf" srcId="{D565ABE9-BF44-4CE6-AD3B-FD56225EF55E}" destId="{91973B0C-C5B8-4D90-94D3-2F57EDB22A2B}" srcOrd="0" destOrd="0" presId="urn:microsoft.com/office/officeart/2005/8/layout/orgChart1"/>
    <dgm:cxn modelId="{92CFA356-A8ED-499A-BEFA-53C753FBF2FF}" type="presParOf" srcId="{D565ABE9-BF44-4CE6-AD3B-FD56225EF55E}" destId="{686EBD36-EAB7-44EB-87B0-5D29047066E4}" srcOrd="1" destOrd="0" presId="urn:microsoft.com/office/officeart/2005/8/layout/orgChart1"/>
    <dgm:cxn modelId="{91BCC9D6-E563-4D93-88B9-7834E677E0FE}" type="presParOf" srcId="{61903204-E574-4242-8D36-22242BD431D5}" destId="{97FCAA18-3C06-4AFF-B049-813D3B06A1A2}" srcOrd="1" destOrd="0" presId="urn:microsoft.com/office/officeart/2005/8/layout/orgChart1"/>
    <dgm:cxn modelId="{BE3628F5-67CA-4324-AC97-14EC630048AC}" type="presParOf" srcId="{61903204-E574-4242-8D36-22242BD431D5}" destId="{311EC2BC-7247-4B00-90C4-7DD53AC62E48}" srcOrd="2" destOrd="0" presId="urn:microsoft.com/office/officeart/2005/8/layout/orgChart1"/>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5"/>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4CB57ADB-6600-49D6-8FB5-74BA3C9130BB}">
      <dsp:nvSpPr>
        <dsp:cNvPr id="0" name=""/>
        <dsp:cNvSpPr/>
      </dsp:nvSpPr>
      <dsp:spPr>
        <a:xfrm>
          <a:off x="2824380" y="1372054"/>
          <a:ext cx="161706" cy="708430"/>
        </a:xfrm>
        <a:custGeom>
          <a:avLst/>
          <a:gdLst/>
          <a:rect l="0" t="0" r="0" b="0"/>
          <a:pathLst>
            <a:path fill="norm" stroke="1">
              <a:moveTo>
                <a:pt x="161706" y="0"/>
              </a:moveTo>
              <a:lnTo>
                <a:pt x="161706" y="708430"/>
              </a:lnTo>
              <a:lnTo>
                <a:pt x="0" y="70843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F697F6-AAEE-41E6-BC34-0205F9EB3BB0}">
      <dsp:nvSpPr>
        <dsp:cNvPr id="0" name=""/>
        <dsp:cNvSpPr/>
      </dsp:nvSpPr>
      <dsp:spPr>
        <a:xfrm>
          <a:off x="2986087" y="1372054"/>
          <a:ext cx="2092148" cy="1416860"/>
        </a:xfrm>
        <a:custGeom>
          <a:avLst/>
          <a:gdLst/>
          <a:rect l="0" t="0" r="0" b="0"/>
          <a:pathLst>
            <a:path fill="norm" stroke="1">
              <a:moveTo>
                <a:pt x="0" y="0"/>
              </a:moveTo>
              <a:lnTo>
                <a:pt x="0" y="1255153"/>
              </a:lnTo>
              <a:lnTo>
                <a:pt x="2092148" y="1255153"/>
              </a:lnTo>
              <a:lnTo>
                <a:pt x="2092148" y="141686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3C75F5-6019-40FF-9534-0DC381F028AC}">
      <dsp:nvSpPr>
        <dsp:cNvPr id="0" name=""/>
        <dsp:cNvSpPr/>
      </dsp:nvSpPr>
      <dsp:spPr>
        <a:xfrm>
          <a:off x="2923503" y="1372054"/>
          <a:ext cx="91440" cy="1416860"/>
        </a:xfrm>
        <a:custGeom>
          <a:avLst/>
          <a:gdLst/>
          <a:rect l="0" t="0" r="0" b="0"/>
          <a:pathLst>
            <a:path fill="norm" stroke="1">
              <a:moveTo>
                <a:pt x="62583" y="0"/>
              </a:moveTo>
              <a:lnTo>
                <a:pt x="62583" y="1255153"/>
              </a:lnTo>
              <a:lnTo>
                <a:pt x="45720" y="1255153"/>
              </a:lnTo>
              <a:lnTo>
                <a:pt x="45720" y="141686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503FA6-97B2-4F1A-88E3-56265AC7957D}">
      <dsp:nvSpPr>
        <dsp:cNvPr id="0" name=""/>
        <dsp:cNvSpPr/>
      </dsp:nvSpPr>
      <dsp:spPr>
        <a:xfrm>
          <a:off x="877075" y="1372054"/>
          <a:ext cx="2109012" cy="1416860"/>
        </a:xfrm>
        <a:custGeom>
          <a:avLst/>
          <a:gdLst/>
          <a:rect l="0" t="0" r="0" b="0"/>
          <a:pathLst>
            <a:path fill="norm" stroke="1">
              <a:moveTo>
                <a:pt x="2109012" y="0"/>
              </a:moveTo>
              <a:lnTo>
                <a:pt x="2109012" y="1255153"/>
              </a:lnTo>
              <a:lnTo>
                <a:pt x="0" y="1255153"/>
              </a:lnTo>
              <a:lnTo>
                <a:pt x="0" y="141686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C750E9-000D-4D91-9D34-B5A5D06A02E7}">
      <dsp:nvSpPr>
        <dsp:cNvPr id="0" name=""/>
        <dsp:cNvSpPr/>
      </dsp:nvSpPr>
      <dsp:spPr>
        <a:xfrm>
          <a:off x="1921755" y="306252"/>
          <a:ext cx="2128663" cy="1065802"/>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lstStyle/>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Gestor - Digitální zmocněnec - </a:t>
          </a:r>
          <a:r>
            <a:rPr lang="cs-CZ" sz="1400" kern="1200"/>
            <a:t>vrchní ředitel  pro informační a komunikační technologie</a:t>
          </a:r>
          <a:endParaRPr lang="cs-CZ" sz="1400" kern="1200">
            <a:latin typeface="Arial" panose="020B0604020202020204" pitchFamily="34" charset="0"/>
            <a:cs typeface="Arial" panose="020B0604020202020204" pitchFamily="34" charset="0"/>
          </a:endParaRPr>
        </a:p>
      </dsp:txBody>
      <dsp:txXfrm>
        <a:off x="1921755" y="306252"/>
        <a:ext cx="2128663" cy="1065802"/>
      </dsp:txXfrm>
    </dsp:sp>
    <dsp:sp modelId="{AE272353-2723-497C-8DD6-9BA4779B2C24}">
      <dsp:nvSpPr>
        <dsp:cNvPr id="0" name=""/>
        <dsp:cNvSpPr/>
      </dsp:nvSpPr>
      <dsp:spPr>
        <a:xfrm>
          <a:off x="2956" y="2788915"/>
          <a:ext cx="1748236" cy="1035409"/>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lstStyle/>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Dílčí cíl 1 - 3: </a:t>
          </a:r>
        </a:p>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Ředitel odboru Národního centra elektronického zdravotnictví</a:t>
          </a:r>
        </a:p>
      </dsp:txBody>
      <dsp:txXfrm>
        <a:off x="2956" y="2788915"/>
        <a:ext cx="1748236" cy="1035409"/>
      </dsp:txXfrm>
    </dsp:sp>
    <dsp:sp modelId="{01B9B6D3-64E9-4A1C-8EAA-38D172CB1BCD}">
      <dsp:nvSpPr>
        <dsp:cNvPr id="0" name=""/>
        <dsp:cNvSpPr/>
      </dsp:nvSpPr>
      <dsp:spPr>
        <a:xfrm>
          <a:off x="2074607" y="2788915"/>
          <a:ext cx="1789233" cy="1036002"/>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lstStyle/>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Dílčí cíl 4: </a:t>
          </a:r>
        </a:p>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Ředitel ÚZIS</a:t>
          </a:r>
          <a:endParaRPr lang="cs-CZ" sz="1400" kern="1200"/>
        </a:p>
      </dsp:txBody>
      <dsp:txXfrm>
        <a:off x="2074607" y="2788915"/>
        <a:ext cx="1789233" cy="1036002"/>
      </dsp:txXfrm>
    </dsp:sp>
    <dsp:sp modelId="{DBB1A80F-0A95-4F04-A324-7BDDE7854528}">
      <dsp:nvSpPr>
        <dsp:cNvPr id="0" name=""/>
        <dsp:cNvSpPr/>
      </dsp:nvSpPr>
      <dsp:spPr>
        <a:xfrm>
          <a:off x="4187254" y="2788915"/>
          <a:ext cx="1781964" cy="997516"/>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lstStyle/>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Dílčí cíl 5 - 14: </a:t>
          </a:r>
        </a:p>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Ředitel odboru Národního centra elektronického zdravotnictví</a:t>
          </a:r>
          <a:endParaRPr lang="cs-CZ" sz="1400" kern="1200"/>
        </a:p>
      </dsp:txBody>
      <dsp:txXfrm>
        <a:off x="4187254" y="2788915"/>
        <a:ext cx="1781964" cy="997516"/>
      </dsp:txXfrm>
    </dsp:sp>
    <dsp:sp modelId="{91973B0C-C5B8-4D90-94D3-2F57EDB22A2B}">
      <dsp:nvSpPr>
        <dsp:cNvPr id="0" name=""/>
        <dsp:cNvSpPr/>
      </dsp:nvSpPr>
      <dsp:spPr>
        <a:xfrm>
          <a:off x="595951" y="1695468"/>
          <a:ext cx="2228429" cy="770032"/>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lstStyle/>
        <a:p>
          <a:pPr marL="0" lvl="0" indent="0" algn="ctr" defTabSz="622300">
            <a:lnSpc>
              <a:spcPct val="90000"/>
            </a:lnSpc>
            <a:spcBef>
              <a:spcPct val="0"/>
            </a:spcBef>
            <a:spcAft>
              <a:spcPct val="35000"/>
            </a:spcAft>
            <a:buNone/>
          </a:pPr>
          <a:r>
            <a:rPr lang="cs-CZ" sz="1400" kern="1200">
              <a:latin typeface="Arial" panose="020B0604020202020204" pitchFamily="34" charset="0"/>
              <a:cs typeface="Arial" panose="020B0604020202020204" pitchFamily="34" charset="0"/>
            </a:rPr>
            <a:t>Koordinátor za sekci</a:t>
          </a:r>
        </a:p>
      </dsp:txBody>
      <dsp:txXfrm>
        <a:off x="595951" y="1695468"/>
        <a:ext cx="2228429" cy="77003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val="norm"/>
      <dgm:animOne val="branch"/>
      <dgm:animLvl val="lvl"/>
      <dgm:resizeHandles val="rel"/>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arg="none"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arg="none"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begPts" val="bCtr"/>
                        <dgm:param type="bendPt" val="end"/>
                        <dgm:param type="connRout" val="bend"/>
                        <dgm:param type="dim" val="1D"/>
                        <dgm:param type="endPts" val="tCt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arg="none" op="lte" val="2">
                          <dgm:alg type="conn">
                            <dgm:param type="begPts" val="bCtr"/>
                            <dgm:param type="bendPt" val="end"/>
                            <dgm:param type="connRout" val="bend"/>
                            <dgm:param type="dim" val="1D"/>
                            <dgm:param type="endPts" val="tCtr"/>
                            <dgm:param type="endSty" val="noArr"/>
                          </dgm:alg>
                        </dgm:if>
                        <dgm:else name="Name40">
                          <dgm:choose name="Name41">
                            <dgm:if name="Name42" axis="par des" func="maxDepth" arg="none" op="lte" val="1">
                              <dgm:choose name="Name43">
                                <dgm:if name="Name44" axis="par ch" ptType="node asst" func="cnt" arg="none" op="gte" val="1">
                                  <dgm:alg type="conn">
                                    <dgm:param type="begPts" val="bCtr"/>
                                    <dgm:param type="connRout" val="bend"/>
                                    <dgm:param type="dim" val="1D"/>
                                    <dgm:param type="endPts" val="midL midR"/>
                                    <dgm:param type="endSty" val="noArr"/>
                                  </dgm:alg>
                                </dgm:if>
                                <dgm:else name="Name45">
                                  <dgm:alg type="conn">
                                    <dgm:param type="begPts" val="bCtr"/>
                                    <dgm:param type="connRout" val="bend"/>
                                    <dgm:param type="dim" val="1D"/>
                                    <dgm:param type="endPts" val="midL midR"/>
                                    <dgm:param type="endSty" val="noArr"/>
                                    <dgm:param type="srcNode" val="rootConnector"/>
                                  </dgm:alg>
                                </dgm:else>
                              </dgm:choose>
                            </dgm:if>
                            <dgm:else name="Name46">
                              <dgm:alg type="conn">
                                <dgm:param type="begPts" val="bCtr"/>
                                <dgm:param type="bendPt" val="end"/>
                                <dgm:param type="connRout" val="bend"/>
                                <dgm:param type="dim" val="1D"/>
                                <dgm:param type="endPts" val="tCtr"/>
                                <dgm:param type="endSty" val="noAr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arg="none" op="lte" val="2">
                          <dgm:choose name="Name53">
                            <dgm:if name="Name54" axis="par ch" ptType="node asst" func="cnt" arg="none" op="gte" val="1">
                              <dgm:alg type="conn">
                                <dgm:param type="begPts" val="bCtr"/>
                                <dgm:param type="connRout" val="bend"/>
                                <dgm:param type="dim" val="1D"/>
                                <dgm:param type="endPts" val="midL midR"/>
                                <dgm:param type="endSty" val="noArr"/>
                              </dgm:alg>
                            </dgm:if>
                            <dgm:else name="Name55">
                              <dgm:alg type="conn">
                                <dgm:param type="begPts" val="bCtr"/>
                                <dgm:param type="connRout" val="bend"/>
                                <dgm:param type="dim" val="1D"/>
                                <dgm:param type="endPts" val="midL midR"/>
                                <dgm:param type="endSty" val="noArr"/>
                                <dgm:param type="srcNode" val="rootConnector1"/>
                              </dgm:alg>
                            </dgm:else>
                          </dgm:choose>
                        </dgm:if>
                        <dgm:else name="Name56">
                          <dgm:choose name="Name57">
                            <dgm:if name="Name58" axis="par ch" ptType="node asst" func="cnt" arg="none" op="gte" val="1">
                              <dgm:alg type="conn">
                                <dgm:param type="begPts" val="bCtr"/>
                                <dgm:param type="connRout" val="bend"/>
                                <dgm:param type="dim" val="1D"/>
                                <dgm:param type="endPts" val="midL midR"/>
                                <dgm:param type="endSty" val="noArr"/>
                              </dgm:alg>
                            </dgm:if>
                            <dgm:else name="Name59">
                              <dgm:alg type="conn">
                                <dgm:param type="begPts" val="bCtr"/>
                                <dgm:param type="connRout" val="bend"/>
                                <dgm:param type="dim" val="1D"/>
                                <dgm:param type="endPts" val="midL midR"/>
                                <dgm:param type="endSty" val="noAr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arg="none"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arg="none" op="lte" val="1">
                        <dgm:choose name="Name73">
                          <dgm:if name="Name74"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arg="none"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arg="none"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arg="none"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4" ma:contentTypeDescription="Vytvoří nový dokument" ma:contentTypeScope="" ma:versionID="87fbd3292cabf115402f85789840c77b">
  <xsd:schema xmlns:xsd="http://www.w3.org/2001/XMLSchema" xmlns:xs="http://www.w3.org/2001/XMLSchema" xmlns:p="http://schemas.microsoft.com/office/2006/metadata/properties" xmlns:ns2="9e88f56c-316d-488a-9fd7-2d0a6ba3a282" xmlns:ns3="0ad023de-2be6-475c-93fc-d9ba6b650da6" targetNamespace="http://schemas.microsoft.com/office/2006/metadata/properties" ma:root="true" ma:fieldsID="05ff06c7e42b361f2778000dcccc09ec" ns2:_="" ns3:_="">
    <xsd:import namespace="9e88f56c-316d-488a-9fd7-2d0a6ba3a282"/>
    <xsd:import namespace="0ad023de-2be6-475c-93fc-d9ba6b650d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d023de-2be6-475c-93fc-d9ba6b650da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2.xml><?xml version="1.0" encoding="utf-8"?>
<ds:datastoreItem xmlns:ds="http://schemas.openxmlformats.org/officeDocument/2006/customXml" ds:itemID="{7145BECE-BCFB-4096-A646-D3B9976A91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E764E3-4242-4AA0-A250-59C31374B969}">
  <ds:schemaRefs>
    <ds:schemaRef ds:uri="http://schemas.openxmlformats.org/officeDocument/2006/bibliography"/>
  </ds:schemaRefs>
</ds:datastoreItem>
</file>

<file path=customXml/itemProps4.xml><?xml version="1.0" encoding="utf-8"?>
<ds:datastoreItem xmlns:ds="http://schemas.openxmlformats.org/officeDocument/2006/customXml" ds:itemID="{084BCC39-705F-4251-B783-A8D372035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8f56c-316d-488a-9fd7-2d0a6ba3a282"/>
    <ds:schemaRef ds:uri="0ad023de-2be6-475c-93fc-d9ba6b650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10425</Words>
  <Characters>61510</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71792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Veselá Dagmar Ing.</dc:creator>
  <cp:lastModifiedBy>Vránová Tereza, Mgr.</cp:lastModifiedBy>
  <cp:revision>5</cp:revision>
  <cp:lastPrinted>2019-10-22T08:55:00Z</cp:lastPrinted>
  <dcterms:created xsi:type="dcterms:W3CDTF">2025-07-26T19:40:00Z</dcterms:created>
  <dcterms:modified xsi:type="dcterms:W3CDTF">2025-09-14T17:21:00Z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0x01010030D950880F07BF44B2E57B4E5148ED1E</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1/812</vt:lpwstr>
  </property>
  <property fmtid="{D5CDD505-2E9C-101B-9397-08002B2CF9AE}" pid="33" name="PocetPriloh_Pisemnost">
    <vt:lpwstr>812</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811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